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72B0" w14:textId="73569058" w:rsidR="00BE75F1" w:rsidRPr="00DC7B6F" w:rsidRDefault="00BE75F1" w:rsidP="00D51FB9">
      <w:pPr>
        <w:shd w:val="clear" w:color="auto" w:fill="FFFFFF" w:themeFill="background1"/>
        <w:tabs>
          <w:tab w:val="center" w:pos="4535"/>
          <w:tab w:val="right" w:pos="9070"/>
        </w:tabs>
        <w:spacing w:after="0"/>
        <w:jc w:val="both"/>
        <w:rPr>
          <w:b/>
          <w:sz w:val="4"/>
        </w:rPr>
      </w:pPr>
      <w:bookmarkStart w:id="0" w:name="_GoBack"/>
      <w:bookmarkEnd w:id="0"/>
    </w:p>
    <w:p w14:paraId="2B8240A9" w14:textId="74FE7403" w:rsidR="009753BE" w:rsidRPr="00DC7B6F" w:rsidRDefault="004872A7" w:rsidP="00DC7B6F">
      <w:pPr>
        <w:numPr>
          <w:ilvl w:val="0"/>
          <w:numId w:val="6"/>
        </w:numPr>
        <w:shd w:val="clear" w:color="auto" w:fill="17365D" w:themeFill="text2" w:themeFillShade="BF"/>
        <w:spacing w:after="120"/>
        <w:ind w:left="426"/>
        <w:jc w:val="both"/>
        <w:rPr>
          <w:b/>
          <w:color w:val="FFFFFF"/>
          <w:sz w:val="24"/>
        </w:rPr>
      </w:pPr>
      <w:r>
        <w:rPr>
          <w:b/>
          <w:color w:val="FFFFFF"/>
          <w:sz w:val="24"/>
        </w:rPr>
        <w:t>CONTEXTE ET PRINCIPES DE L’ACCORD COMMERCIAL</w:t>
      </w:r>
      <w:r w:rsidR="00D00989">
        <w:rPr>
          <w:b/>
          <w:color w:val="FFFFFF"/>
          <w:sz w:val="24"/>
        </w:rPr>
        <w:t xml:space="preserve"> </w:t>
      </w:r>
    </w:p>
    <w:p w14:paraId="326E9B98" w14:textId="77777777" w:rsidR="003E49CB" w:rsidRPr="009753BE" w:rsidRDefault="003E49CB" w:rsidP="003E49CB">
      <w:pPr>
        <w:pStyle w:val="Paragraphedeliste"/>
        <w:numPr>
          <w:ilvl w:val="0"/>
          <w:numId w:val="29"/>
        </w:numPr>
        <w:jc w:val="both"/>
        <w:rPr>
          <w:sz w:val="24"/>
          <w:szCs w:val="28"/>
        </w:rPr>
      </w:pPr>
      <w:r w:rsidRPr="009753BE">
        <w:rPr>
          <w:b/>
          <w:color w:val="002060"/>
          <w:sz w:val="24"/>
          <w:szCs w:val="28"/>
        </w:rPr>
        <w:t xml:space="preserve">Pourquoi un accord commercial avec BNP Paribas </w:t>
      </w:r>
      <w:proofErr w:type="spellStart"/>
      <w:r w:rsidRPr="009753BE">
        <w:rPr>
          <w:b/>
          <w:color w:val="002060"/>
          <w:sz w:val="24"/>
          <w:szCs w:val="28"/>
        </w:rPr>
        <w:t>Personal</w:t>
      </w:r>
      <w:proofErr w:type="spellEnd"/>
      <w:r w:rsidRPr="009753BE">
        <w:rPr>
          <w:b/>
          <w:color w:val="002060"/>
          <w:sz w:val="24"/>
          <w:szCs w:val="28"/>
        </w:rPr>
        <w:t xml:space="preserve"> Finance ?</w:t>
      </w:r>
    </w:p>
    <w:p w14:paraId="2C64CF39" w14:textId="3CBAAC8E" w:rsidR="003E49CB" w:rsidRDefault="003E49CB" w:rsidP="003E49CB">
      <w:pPr>
        <w:ind w:left="66"/>
        <w:jc w:val="both"/>
        <w:rPr>
          <w:sz w:val="24"/>
          <w:szCs w:val="28"/>
        </w:rPr>
      </w:pPr>
      <w:r w:rsidRPr="009753BE">
        <w:rPr>
          <w:sz w:val="24"/>
          <w:szCs w:val="28"/>
        </w:rPr>
        <w:t xml:space="preserve">BNP Paribas </w:t>
      </w:r>
      <w:proofErr w:type="spellStart"/>
      <w:r w:rsidRPr="009753BE">
        <w:rPr>
          <w:sz w:val="24"/>
          <w:szCs w:val="28"/>
        </w:rPr>
        <w:t>Personal</w:t>
      </w:r>
      <w:proofErr w:type="spellEnd"/>
      <w:r w:rsidRPr="009753BE">
        <w:rPr>
          <w:sz w:val="24"/>
          <w:szCs w:val="28"/>
        </w:rPr>
        <w:t xml:space="preserve"> Finance est aujourd’hui le 2</w:t>
      </w:r>
      <w:r w:rsidRPr="00D51FB9">
        <w:rPr>
          <w:sz w:val="24"/>
          <w:szCs w:val="28"/>
          <w:vertAlign w:val="superscript"/>
        </w:rPr>
        <w:t>ème</w:t>
      </w:r>
      <w:r w:rsidRPr="009753BE">
        <w:rPr>
          <w:sz w:val="24"/>
          <w:szCs w:val="28"/>
        </w:rPr>
        <w:t xml:space="preserve"> actionnaire de la banque et un acteur majeur </w:t>
      </w:r>
      <w:r>
        <w:rPr>
          <w:sz w:val="24"/>
          <w:szCs w:val="28"/>
        </w:rPr>
        <w:t>du crédit à la consommation. Il est expert dans la relation aux</w:t>
      </w:r>
      <w:r w:rsidRPr="009753BE">
        <w:rPr>
          <w:sz w:val="24"/>
          <w:szCs w:val="28"/>
        </w:rPr>
        <w:t xml:space="preserve"> professionnels du bâtiment. </w:t>
      </w:r>
      <w:r>
        <w:rPr>
          <w:sz w:val="24"/>
          <w:szCs w:val="28"/>
        </w:rPr>
        <w:t>C’</w:t>
      </w:r>
      <w:r w:rsidRPr="009753BE">
        <w:rPr>
          <w:sz w:val="24"/>
          <w:szCs w:val="28"/>
        </w:rPr>
        <w:t xml:space="preserve">est un partenaire de confiance de la banque </w:t>
      </w:r>
      <w:r>
        <w:rPr>
          <w:sz w:val="24"/>
          <w:szCs w:val="28"/>
        </w:rPr>
        <w:t xml:space="preserve">qui </w:t>
      </w:r>
      <w:r w:rsidRPr="009753BE">
        <w:rPr>
          <w:sz w:val="24"/>
          <w:szCs w:val="28"/>
        </w:rPr>
        <w:t xml:space="preserve">s’appuie sur </w:t>
      </w:r>
      <w:r>
        <w:rPr>
          <w:sz w:val="24"/>
          <w:szCs w:val="28"/>
        </w:rPr>
        <w:t>de nombreux savoir-faire et une expertise reconnue.</w:t>
      </w:r>
    </w:p>
    <w:p w14:paraId="466CD38D" w14:textId="77777777" w:rsidR="003E49CB" w:rsidRPr="00D00989" w:rsidRDefault="003E49CB" w:rsidP="003E49CB">
      <w:pPr>
        <w:pStyle w:val="Paragraphedeliste"/>
        <w:numPr>
          <w:ilvl w:val="0"/>
          <w:numId w:val="29"/>
        </w:numPr>
        <w:jc w:val="both"/>
        <w:rPr>
          <w:sz w:val="24"/>
          <w:szCs w:val="28"/>
        </w:rPr>
      </w:pPr>
      <w:r w:rsidRPr="00D00989">
        <w:rPr>
          <w:b/>
          <w:color w:val="002060"/>
          <w:sz w:val="24"/>
          <w:szCs w:val="28"/>
        </w:rPr>
        <w:t>Quelles sont les dates de début de l’accord commercial ?</w:t>
      </w:r>
    </w:p>
    <w:p w14:paraId="2B2F08AE" w14:textId="308048CD" w:rsidR="003E49CB" w:rsidRPr="003E49CB" w:rsidRDefault="003E49CB" w:rsidP="003E49CB">
      <w:pPr>
        <w:ind w:left="66"/>
        <w:jc w:val="both"/>
        <w:rPr>
          <w:sz w:val="24"/>
          <w:szCs w:val="28"/>
        </w:rPr>
      </w:pPr>
      <w:r w:rsidRPr="00D00989">
        <w:rPr>
          <w:sz w:val="24"/>
          <w:szCs w:val="28"/>
        </w:rPr>
        <w:t>L’ensemble des moyens est aujourd’hui mis en œuvre pour que l’accord commercial démarre au 1</w:t>
      </w:r>
      <w:r w:rsidRPr="005A3073">
        <w:rPr>
          <w:sz w:val="24"/>
          <w:szCs w:val="28"/>
          <w:vertAlign w:val="superscript"/>
        </w:rPr>
        <w:t>er</w:t>
      </w:r>
      <w:r w:rsidRPr="00D00989">
        <w:rPr>
          <w:sz w:val="24"/>
          <w:szCs w:val="28"/>
        </w:rPr>
        <w:t xml:space="preserve"> mars 2017. </w:t>
      </w:r>
    </w:p>
    <w:p w14:paraId="3EF750B0" w14:textId="77777777" w:rsidR="009753BE" w:rsidRPr="009753BE" w:rsidRDefault="009753BE" w:rsidP="00D51FB9">
      <w:pPr>
        <w:pStyle w:val="Paragraphedeliste"/>
        <w:numPr>
          <w:ilvl w:val="0"/>
          <w:numId w:val="29"/>
        </w:numPr>
        <w:jc w:val="both"/>
        <w:rPr>
          <w:b/>
          <w:color w:val="002060"/>
          <w:sz w:val="24"/>
          <w:szCs w:val="28"/>
        </w:rPr>
      </w:pPr>
      <w:r w:rsidRPr="009753BE">
        <w:rPr>
          <w:b/>
          <w:color w:val="002060"/>
          <w:sz w:val="24"/>
          <w:szCs w:val="28"/>
        </w:rPr>
        <w:t>Que devient la banque ?</w:t>
      </w:r>
    </w:p>
    <w:p w14:paraId="30DF39BE" w14:textId="77777777" w:rsidR="00D00989" w:rsidRDefault="005C20F5" w:rsidP="00D51FB9">
      <w:pPr>
        <w:ind w:left="66"/>
        <w:jc w:val="both"/>
        <w:rPr>
          <w:sz w:val="24"/>
          <w:szCs w:val="28"/>
        </w:rPr>
      </w:pPr>
      <w:r>
        <w:rPr>
          <w:sz w:val="24"/>
          <w:szCs w:val="28"/>
        </w:rPr>
        <w:t xml:space="preserve">BNPP PF et ENGIE confirment leur volonté de renforcer leur partenariat </w:t>
      </w:r>
      <w:r w:rsidRPr="005C20F5">
        <w:rPr>
          <w:sz w:val="24"/>
          <w:szCs w:val="28"/>
        </w:rPr>
        <w:t xml:space="preserve">au service des travaux de l’amélioration de l’efficacité énergétique de l’HABITAT à travers à la mise en œuvre d’un accord commercial. </w:t>
      </w:r>
      <w:r w:rsidR="009753BE" w:rsidRPr="009753BE">
        <w:rPr>
          <w:sz w:val="24"/>
          <w:szCs w:val="28"/>
        </w:rPr>
        <w:t>L’ensemble des activit</w:t>
      </w:r>
      <w:r w:rsidR="00CD499F">
        <w:rPr>
          <w:sz w:val="24"/>
          <w:szCs w:val="28"/>
        </w:rPr>
        <w:t>és de la banque sera transféré et géré</w:t>
      </w:r>
      <w:r w:rsidR="009753BE" w:rsidRPr="009753BE">
        <w:rPr>
          <w:sz w:val="24"/>
          <w:szCs w:val="28"/>
        </w:rPr>
        <w:t xml:space="preserve"> par BNP Paribas </w:t>
      </w:r>
      <w:proofErr w:type="spellStart"/>
      <w:r w:rsidR="009753BE" w:rsidRPr="009753BE">
        <w:rPr>
          <w:sz w:val="24"/>
          <w:szCs w:val="28"/>
        </w:rPr>
        <w:t>Personal</w:t>
      </w:r>
      <w:proofErr w:type="spellEnd"/>
      <w:r w:rsidR="009753BE" w:rsidRPr="009753BE">
        <w:rPr>
          <w:sz w:val="24"/>
          <w:szCs w:val="28"/>
        </w:rPr>
        <w:t xml:space="preserve"> Finance. Ainsi, les collaborateurs qui vous sont dédiés aujourd’hui poursuivront demain ce rôle d’accompagnement au sein de BNP Paribas </w:t>
      </w:r>
      <w:proofErr w:type="spellStart"/>
      <w:r w:rsidR="009753BE" w:rsidRPr="009753BE">
        <w:rPr>
          <w:sz w:val="24"/>
          <w:szCs w:val="28"/>
        </w:rPr>
        <w:t>Personal</w:t>
      </w:r>
      <w:proofErr w:type="spellEnd"/>
      <w:r w:rsidR="009753BE" w:rsidRPr="009753BE">
        <w:rPr>
          <w:sz w:val="24"/>
          <w:szCs w:val="28"/>
        </w:rPr>
        <w:t xml:space="preserve"> Finance.</w:t>
      </w:r>
    </w:p>
    <w:p w14:paraId="74E32815" w14:textId="77777777" w:rsidR="003E49CB" w:rsidRPr="00D00989" w:rsidRDefault="003E49CB" w:rsidP="003E49CB">
      <w:pPr>
        <w:pStyle w:val="Paragraphedeliste"/>
        <w:numPr>
          <w:ilvl w:val="0"/>
          <w:numId w:val="29"/>
        </w:numPr>
        <w:jc w:val="both"/>
        <w:rPr>
          <w:sz w:val="24"/>
          <w:szCs w:val="28"/>
        </w:rPr>
      </w:pPr>
      <w:r>
        <w:rPr>
          <w:b/>
          <w:color w:val="002060"/>
          <w:sz w:val="24"/>
          <w:szCs w:val="28"/>
        </w:rPr>
        <w:t>Quels sont les principes de l’accord commercial ?</w:t>
      </w:r>
    </w:p>
    <w:p w14:paraId="67B0636D" w14:textId="272B8468" w:rsidR="003E49CB" w:rsidRDefault="003E49CB" w:rsidP="003E49CB">
      <w:pPr>
        <w:ind w:left="66"/>
        <w:jc w:val="both"/>
        <w:rPr>
          <w:sz w:val="24"/>
          <w:szCs w:val="28"/>
        </w:rPr>
      </w:pPr>
      <w:r w:rsidRPr="00D00989">
        <w:rPr>
          <w:sz w:val="24"/>
          <w:szCs w:val="28"/>
        </w:rPr>
        <w:t xml:space="preserve">L’accord commercial repose sur la continuité de la gamme d’offres, en particulier des prêts socles de Banque </w:t>
      </w:r>
      <w:proofErr w:type="spellStart"/>
      <w:r w:rsidRPr="00D00989">
        <w:rPr>
          <w:sz w:val="24"/>
          <w:szCs w:val="28"/>
        </w:rPr>
        <w:t>Solfea</w:t>
      </w:r>
      <w:proofErr w:type="spellEnd"/>
      <w:r w:rsidRPr="00D00989">
        <w:rPr>
          <w:sz w:val="24"/>
          <w:szCs w:val="28"/>
        </w:rPr>
        <w:t xml:space="preserve"> (</w:t>
      </w:r>
      <w:proofErr w:type="spellStart"/>
      <w:r w:rsidRPr="00D00989">
        <w:rPr>
          <w:sz w:val="24"/>
          <w:szCs w:val="28"/>
        </w:rPr>
        <w:t>Boost</w:t>
      </w:r>
      <w:proofErr w:type="spellEnd"/>
      <w:r w:rsidRPr="00D00989">
        <w:rPr>
          <w:sz w:val="24"/>
          <w:szCs w:val="28"/>
        </w:rPr>
        <w:t xml:space="preserve"> Chauffe, </w:t>
      </w:r>
      <w:proofErr w:type="spellStart"/>
      <w:r w:rsidRPr="00D00989">
        <w:rPr>
          <w:sz w:val="24"/>
          <w:szCs w:val="28"/>
        </w:rPr>
        <w:t>Boost</w:t>
      </w:r>
      <w:proofErr w:type="spellEnd"/>
      <w:r w:rsidRPr="00D00989">
        <w:rPr>
          <w:sz w:val="24"/>
          <w:szCs w:val="28"/>
        </w:rPr>
        <w:t xml:space="preserve"> Iso et Pack travaux), </w:t>
      </w:r>
      <w:r>
        <w:rPr>
          <w:sz w:val="24"/>
          <w:szCs w:val="28"/>
        </w:rPr>
        <w:t>avec une qualité de service plus efficiente, notamment grâce à un processus de décision plus rapide pour les demandes de prêts.</w:t>
      </w:r>
    </w:p>
    <w:p w14:paraId="7EB704A3" w14:textId="77777777" w:rsidR="00D00989" w:rsidRPr="00D00989" w:rsidRDefault="00D00989" w:rsidP="00D51FB9">
      <w:pPr>
        <w:pStyle w:val="Paragraphedeliste"/>
        <w:numPr>
          <w:ilvl w:val="0"/>
          <w:numId w:val="29"/>
        </w:numPr>
        <w:jc w:val="both"/>
        <w:rPr>
          <w:sz w:val="24"/>
          <w:szCs w:val="28"/>
        </w:rPr>
      </w:pPr>
      <w:r w:rsidRPr="00D00989">
        <w:rPr>
          <w:b/>
          <w:color w:val="002060"/>
          <w:sz w:val="24"/>
          <w:szCs w:val="28"/>
        </w:rPr>
        <w:t>Où en est le processus de consultation des IRP ?</w:t>
      </w:r>
    </w:p>
    <w:p w14:paraId="4E39E084" w14:textId="77777777" w:rsidR="00D00989" w:rsidRDefault="00D00989" w:rsidP="00D51FB9">
      <w:pPr>
        <w:ind w:left="66"/>
        <w:jc w:val="both"/>
        <w:rPr>
          <w:sz w:val="24"/>
          <w:szCs w:val="28"/>
        </w:rPr>
      </w:pPr>
      <w:r w:rsidRPr="00D00989">
        <w:rPr>
          <w:sz w:val="24"/>
          <w:szCs w:val="28"/>
        </w:rPr>
        <w:t xml:space="preserve">L’ensemble des IRP </w:t>
      </w:r>
      <w:r w:rsidR="00CD499F">
        <w:rPr>
          <w:sz w:val="24"/>
          <w:szCs w:val="28"/>
        </w:rPr>
        <w:t>a rendu</w:t>
      </w:r>
      <w:r w:rsidRPr="00D00989">
        <w:rPr>
          <w:sz w:val="24"/>
          <w:szCs w:val="28"/>
        </w:rPr>
        <w:t xml:space="preserve"> </w:t>
      </w:r>
      <w:r w:rsidR="00CD499F">
        <w:rPr>
          <w:sz w:val="24"/>
          <w:szCs w:val="28"/>
        </w:rPr>
        <w:t>les</w:t>
      </w:r>
      <w:r w:rsidRPr="00D00989">
        <w:rPr>
          <w:sz w:val="24"/>
          <w:szCs w:val="28"/>
        </w:rPr>
        <w:t xml:space="preserve"> avis en début septembre, ce qui a permis au projet de rentrer dans sa phase </w:t>
      </w:r>
      <w:r w:rsidR="00CD499F">
        <w:rPr>
          <w:sz w:val="24"/>
          <w:szCs w:val="28"/>
        </w:rPr>
        <w:t>de préparation opérationnelle de la mise en œuvre</w:t>
      </w:r>
      <w:r w:rsidRPr="00D00989">
        <w:rPr>
          <w:sz w:val="24"/>
          <w:szCs w:val="28"/>
        </w:rPr>
        <w:t>.</w:t>
      </w:r>
    </w:p>
    <w:p w14:paraId="5AEC7F0C" w14:textId="0CAE00D7" w:rsidR="00DC7B6F" w:rsidRPr="00DC7B6F" w:rsidRDefault="00D40832" w:rsidP="00DC7B6F">
      <w:pPr>
        <w:numPr>
          <w:ilvl w:val="0"/>
          <w:numId w:val="6"/>
        </w:numPr>
        <w:shd w:val="clear" w:color="auto" w:fill="17365D" w:themeFill="text2" w:themeFillShade="BF"/>
        <w:spacing w:after="120"/>
        <w:ind w:left="426"/>
        <w:jc w:val="both"/>
        <w:rPr>
          <w:b/>
          <w:color w:val="FFFFFF"/>
          <w:sz w:val="24"/>
        </w:rPr>
      </w:pPr>
      <w:r>
        <w:rPr>
          <w:b/>
          <w:color w:val="FFFFFF"/>
          <w:sz w:val="24"/>
        </w:rPr>
        <w:t>TRANSITION ET LANCEMENT DE L’ACCORD COMMERCIAL</w:t>
      </w:r>
    </w:p>
    <w:p w14:paraId="3AA53CC0" w14:textId="77777777" w:rsidR="00D40832" w:rsidRDefault="00D40832" w:rsidP="00D51FB9">
      <w:pPr>
        <w:pStyle w:val="Paragraphedeliste"/>
        <w:numPr>
          <w:ilvl w:val="0"/>
          <w:numId w:val="29"/>
        </w:numPr>
        <w:jc w:val="both"/>
        <w:rPr>
          <w:b/>
          <w:color w:val="002060"/>
          <w:sz w:val="24"/>
          <w:szCs w:val="28"/>
        </w:rPr>
      </w:pPr>
      <w:r w:rsidRPr="00D00989">
        <w:rPr>
          <w:b/>
          <w:color w:val="002060"/>
          <w:sz w:val="24"/>
          <w:szCs w:val="28"/>
        </w:rPr>
        <w:t xml:space="preserve">Qu’est-ce qui va se </w:t>
      </w:r>
      <w:r w:rsidR="00F2746E" w:rsidRPr="00D00989">
        <w:rPr>
          <w:b/>
          <w:color w:val="002060"/>
          <w:sz w:val="24"/>
          <w:szCs w:val="28"/>
        </w:rPr>
        <w:t xml:space="preserve">passer </w:t>
      </w:r>
      <w:r w:rsidR="00F2746E">
        <w:rPr>
          <w:b/>
          <w:color w:val="002060"/>
          <w:sz w:val="24"/>
          <w:szCs w:val="28"/>
        </w:rPr>
        <w:t>jusqu’à</w:t>
      </w:r>
      <w:r w:rsidR="002A46AC">
        <w:rPr>
          <w:b/>
          <w:color w:val="002060"/>
          <w:sz w:val="24"/>
          <w:szCs w:val="28"/>
        </w:rPr>
        <w:t xml:space="preserve"> la mise en œuvre de l’accord commercial ?</w:t>
      </w:r>
    </w:p>
    <w:p w14:paraId="36201EA8" w14:textId="3A75AAE0" w:rsidR="003E49CB" w:rsidRDefault="003E49CB" w:rsidP="003E49CB">
      <w:pPr>
        <w:pStyle w:val="Paragraphedeliste"/>
        <w:ind w:left="66"/>
        <w:jc w:val="both"/>
        <w:rPr>
          <w:sz w:val="24"/>
          <w:szCs w:val="28"/>
        </w:rPr>
      </w:pPr>
      <w:r w:rsidRPr="003E49CB">
        <w:rPr>
          <w:sz w:val="24"/>
          <w:szCs w:val="28"/>
        </w:rPr>
        <w:t>Pas de changements pour le client comme pour vous, vous pourrez  continuer à adresser vos demandes de prêts à Banque Solfea jusqu’à la mise en place de l’accord commercial. Afin de vous permettre de pouvoir bénéficier des offres, votre agrément par BNPP PF au 1er mars 2017 est nécessaire. Vous recevrez vos packs d’agrément à partir de début novembre 2016</w:t>
      </w:r>
      <w:r w:rsidR="00DC7B6F">
        <w:rPr>
          <w:sz w:val="24"/>
          <w:szCs w:val="28"/>
        </w:rPr>
        <w:t>.</w:t>
      </w:r>
    </w:p>
    <w:p w14:paraId="708BB810" w14:textId="7388C5B3" w:rsidR="00F2746E" w:rsidRPr="00F2746E" w:rsidRDefault="00D40832" w:rsidP="003E49CB">
      <w:pPr>
        <w:pStyle w:val="Paragraphedeliste"/>
        <w:numPr>
          <w:ilvl w:val="0"/>
          <w:numId w:val="29"/>
        </w:numPr>
        <w:jc w:val="both"/>
        <w:rPr>
          <w:sz w:val="24"/>
          <w:szCs w:val="28"/>
        </w:rPr>
      </w:pPr>
      <w:r w:rsidRPr="00F2746E">
        <w:rPr>
          <w:b/>
          <w:color w:val="002060"/>
          <w:sz w:val="24"/>
          <w:szCs w:val="28"/>
        </w:rPr>
        <w:t>Quand les packs d’agrément seront-ils livrés ?</w:t>
      </w:r>
    </w:p>
    <w:p w14:paraId="5314ED6F" w14:textId="77777777" w:rsidR="003E49CB" w:rsidRDefault="00D40832" w:rsidP="00F2746E">
      <w:pPr>
        <w:pStyle w:val="Paragraphedeliste"/>
        <w:ind w:left="66"/>
        <w:jc w:val="both"/>
        <w:rPr>
          <w:sz w:val="24"/>
          <w:szCs w:val="28"/>
        </w:rPr>
      </w:pPr>
      <w:r w:rsidRPr="00F2746E">
        <w:rPr>
          <w:sz w:val="24"/>
          <w:szCs w:val="28"/>
        </w:rPr>
        <w:lastRenderedPageBreak/>
        <w:t xml:space="preserve">Les packs d’agrément seront livrés à partir de </w:t>
      </w:r>
      <w:r w:rsidR="005C20F5" w:rsidRPr="00F2746E">
        <w:rPr>
          <w:sz w:val="24"/>
          <w:szCs w:val="28"/>
        </w:rPr>
        <w:t>début novembre 2016</w:t>
      </w:r>
      <w:r w:rsidRPr="00F2746E">
        <w:rPr>
          <w:sz w:val="24"/>
          <w:szCs w:val="28"/>
        </w:rPr>
        <w:t>.</w:t>
      </w:r>
      <w:r w:rsidR="005C20F5" w:rsidRPr="00F2746E">
        <w:rPr>
          <w:sz w:val="24"/>
          <w:szCs w:val="28"/>
        </w:rPr>
        <w:t xml:space="preserve"> Nous vous prions de bien vouloir renvoyer les packs d’agrément complétés le plus rapidement possible afin d’être préparés dans les meilleurs délais à la mise en œuvre de l’accord commercial</w:t>
      </w:r>
      <w:r w:rsidR="003E49CB">
        <w:rPr>
          <w:sz w:val="24"/>
          <w:szCs w:val="28"/>
        </w:rPr>
        <w:t>.</w:t>
      </w:r>
    </w:p>
    <w:p w14:paraId="5A7AD12E" w14:textId="77777777" w:rsidR="003E49CB" w:rsidRPr="000678FC" w:rsidRDefault="003E49CB" w:rsidP="003E49CB">
      <w:pPr>
        <w:pStyle w:val="Paragraphedeliste"/>
        <w:numPr>
          <w:ilvl w:val="0"/>
          <w:numId w:val="29"/>
        </w:numPr>
        <w:jc w:val="both"/>
        <w:rPr>
          <w:sz w:val="24"/>
          <w:szCs w:val="28"/>
        </w:rPr>
      </w:pPr>
      <w:r>
        <w:rPr>
          <w:b/>
          <w:color w:val="002060"/>
          <w:sz w:val="24"/>
          <w:szCs w:val="28"/>
        </w:rPr>
        <w:t>Qu’est-ce qui va se passer au 1</w:t>
      </w:r>
      <w:r w:rsidRPr="00DE76DC">
        <w:rPr>
          <w:b/>
          <w:color w:val="002060"/>
          <w:sz w:val="24"/>
          <w:szCs w:val="28"/>
          <w:vertAlign w:val="superscript"/>
        </w:rPr>
        <w:t>er</w:t>
      </w:r>
      <w:r>
        <w:rPr>
          <w:b/>
          <w:color w:val="002060"/>
          <w:sz w:val="24"/>
          <w:szCs w:val="28"/>
        </w:rPr>
        <w:t xml:space="preserve"> mars 2017 ?</w:t>
      </w:r>
    </w:p>
    <w:p w14:paraId="3B213E04" w14:textId="3DBAA330" w:rsidR="00D40832" w:rsidRDefault="003E49CB" w:rsidP="003E49CB">
      <w:pPr>
        <w:ind w:left="66"/>
        <w:jc w:val="both"/>
        <w:rPr>
          <w:sz w:val="24"/>
          <w:szCs w:val="28"/>
        </w:rPr>
      </w:pPr>
      <w:r w:rsidRPr="000678FC">
        <w:rPr>
          <w:sz w:val="24"/>
          <w:szCs w:val="28"/>
        </w:rPr>
        <w:t xml:space="preserve">Vous pourrez transmettre vos dossiers de demande de prêt à BNP Paribas </w:t>
      </w:r>
      <w:proofErr w:type="spellStart"/>
      <w:r w:rsidRPr="000678FC">
        <w:rPr>
          <w:sz w:val="24"/>
          <w:szCs w:val="28"/>
        </w:rPr>
        <w:t>Personal</w:t>
      </w:r>
      <w:proofErr w:type="spellEnd"/>
      <w:r w:rsidRPr="000678FC">
        <w:rPr>
          <w:sz w:val="24"/>
          <w:szCs w:val="28"/>
        </w:rPr>
        <w:t xml:space="preserve"> Finance, grâce à la connaissance </w:t>
      </w:r>
      <w:r>
        <w:rPr>
          <w:sz w:val="24"/>
          <w:szCs w:val="28"/>
        </w:rPr>
        <w:t>du nouveau parcours</w:t>
      </w:r>
      <w:r w:rsidRPr="000678FC">
        <w:rPr>
          <w:sz w:val="24"/>
          <w:szCs w:val="28"/>
        </w:rPr>
        <w:t xml:space="preserve"> BNP</w:t>
      </w:r>
      <w:r>
        <w:rPr>
          <w:sz w:val="24"/>
          <w:szCs w:val="28"/>
        </w:rPr>
        <w:t xml:space="preserve"> </w:t>
      </w:r>
      <w:r w:rsidRPr="000678FC">
        <w:rPr>
          <w:sz w:val="24"/>
          <w:szCs w:val="28"/>
        </w:rPr>
        <w:t>P</w:t>
      </w:r>
      <w:r>
        <w:rPr>
          <w:sz w:val="24"/>
          <w:szCs w:val="28"/>
        </w:rPr>
        <w:t>aribas</w:t>
      </w:r>
      <w:r w:rsidRPr="000678FC">
        <w:rPr>
          <w:sz w:val="24"/>
          <w:szCs w:val="28"/>
        </w:rPr>
        <w:t xml:space="preserve"> </w:t>
      </w:r>
      <w:proofErr w:type="spellStart"/>
      <w:r w:rsidRPr="000678FC">
        <w:rPr>
          <w:sz w:val="24"/>
          <w:szCs w:val="28"/>
        </w:rPr>
        <w:t>P</w:t>
      </w:r>
      <w:r>
        <w:rPr>
          <w:sz w:val="24"/>
          <w:szCs w:val="28"/>
        </w:rPr>
        <w:t>ersonal</w:t>
      </w:r>
      <w:proofErr w:type="spellEnd"/>
      <w:r>
        <w:rPr>
          <w:sz w:val="24"/>
          <w:szCs w:val="28"/>
        </w:rPr>
        <w:t xml:space="preserve"> </w:t>
      </w:r>
      <w:r w:rsidRPr="000678FC">
        <w:rPr>
          <w:sz w:val="24"/>
          <w:szCs w:val="28"/>
        </w:rPr>
        <w:t>F</w:t>
      </w:r>
      <w:r>
        <w:rPr>
          <w:sz w:val="24"/>
          <w:szCs w:val="28"/>
        </w:rPr>
        <w:t>inance</w:t>
      </w:r>
      <w:r w:rsidRPr="000678FC">
        <w:rPr>
          <w:sz w:val="24"/>
          <w:szCs w:val="28"/>
        </w:rPr>
        <w:t xml:space="preserve"> que vous aurez acquise au cours de vos formations et en vous appuyant sur les équipes de commerciaux terrain et sédentaires. </w:t>
      </w:r>
      <w:r w:rsidR="005C20F5" w:rsidRPr="003E49CB">
        <w:rPr>
          <w:sz w:val="24"/>
          <w:szCs w:val="28"/>
        </w:rPr>
        <w:t> </w:t>
      </w:r>
    </w:p>
    <w:p w14:paraId="2DD87D62" w14:textId="77777777" w:rsidR="003E49CB" w:rsidRPr="00C34A81" w:rsidRDefault="003E49CB" w:rsidP="003E49CB">
      <w:pPr>
        <w:pStyle w:val="Paragraphedeliste"/>
        <w:numPr>
          <w:ilvl w:val="0"/>
          <w:numId w:val="29"/>
        </w:numPr>
        <w:jc w:val="both"/>
        <w:rPr>
          <w:b/>
          <w:color w:val="002060"/>
          <w:sz w:val="24"/>
          <w:szCs w:val="28"/>
        </w:rPr>
      </w:pPr>
      <w:r w:rsidRPr="00C34A81">
        <w:rPr>
          <w:b/>
          <w:color w:val="002060"/>
          <w:sz w:val="24"/>
          <w:szCs w:val="28"/>
        </w:rPr>
        <w:t>Comment contacter BNP</w:t>
      </w:r>
      <w:r>
        <w:rPr>
          <w:b/>
          <w:color w:val="002060"/>
          <w:sz w:val="24"/>
          <w:szCs w:val="28"/>
        </w:rPr>
        <w:t>P</w:t>
      </w:r>
      <w:r w:rsidRPr="00C34A81">
        <w:rPr>
          <w:b/>
          <w:color w:val="002060"/>
          <w:sz w:val="24"/>
          <w:szCs w:val="28"/>
        </w:rPr>
        <w:t xml:space="preserve"> PF ?</w:t>
      </w:r>
    </w:p>
    <w:p w14:paraId="654EE327" w14:textId="77777777" w:rsidR="003E49CB" w:rsidRPr="00133956" w:rsidRDefault="003E49CB" w:rsidP="003E49CB">
      <w:pPr>
        <w:pStyle w:val="Paragraphedeliste"/>
        <w:ind w:left="0"/>
        <w:jc w:val="both"/>
        <w:rPr>
          <w:color w:val="000000" w:themeColor="text1"/>
          <w:sz w:val="24"/>
          <w:szCs w:val="28"/>
        </w:rPr>
      </w:pPr>
      <w:r>
        <w:rPr>
          <w:sz w:val="24"/>
          <w:szCs w:val="28"/>
        </w:rPr>
        <w:t>Pour les questions relatives à l’</w:t>
      </w:r>
      <w:r w:rsidRPr="00133956">
        <w:rPr>
          <w:b/>
          <w:sz w:val="24"/>
          <w:szCs w:val="28"/>
        </w:rPr>
        <w:t>agrément</w:t>
      </w:r>
      <w:r>
        <w:rPr>
          <w:sz w:val="24"/>
          <w:szCs w:val="28"/>
        </w:rPr>
        <w:t xml:space="preserve">, vous pouvez </w:t>
      </w:r>
      <w:r w:rsidRPr="00133956">
        <w:rPr>
          <w:b/>
          <w:color w:val="000000" w:themeColor="text1"/>
          <w:sz w:val="24"/>
          <w:szCs w:val="28"/>
        </w:rPr>
        <w:t>contacter BNPP PF au 05 56 55 48 47.</w:t>
      </w:r>
    </w:p>
    <w:p w14:paraId="0AAD1A59" w14:textId="7DFA34E1" w:rsidR="003E49CB" w:rsidRDefault="003E49CB" w:rsidP="003E49CB">
      <w:pPr>
        <w:pStyle w:val="Paragraphedeliste"/>
        <w:ind w:left="0"/>
        <w:jc w:val="both"/>
        <w:rPr>
          <w:sz w:val="24"/>
          <w:szCs w:val="28"/>
        </w:rPr>
      </w:pPr>
      <w:r>
        <w:rPr>
          <w:sz w:val="24"/>
          <w:szCs w:val="28"/>
        </w:rPr>
        <w:t xml:space="preserve">Pour tout autre type de question, </w:t>
      </w:r>
      <w:r w:rsidR="00947F35">
        <w:rPr>
          <w:sz w:val="24"/>
          <w:szCs w:val="28"/>
        </w:rPr>
        <w:t xml:space="preserve">BNPP PF </w:t>
      </w:r>
      <w:r>
        <w:rPr>
          <w:sz w:val="24"/>
          <w:szCs w:val="28"/>
        </w:rPr>
        <w:t>dispose de plusieurs moyens de contact : téléphone, mail et fax. Ces circuits seront expliqués en détail lors des formations en amont du lancement de l’accord commercial.</w:t>
      </w:r>
    </w:p>
    <w:p w14:paraId="66846116" w14:textId="260B0C96" w:rsidR="003E49CB" w:rsidRPr="003E49CB" w:rsidRDefault="003E49CB" w:rsidP="003E49CB">
      <w:pPr>
        <w:pStyle w:val="Paragraphedeliste"/>
        <w:numPr>
          <w:ilvl w:val="0"/>
          <w:numId w:val="29"/>
        </w:numPr>
        <w:jc w:val="both"/>
        <w:rPr>
          <w:b/>
          <w:color w:val="002060"/>
          <w:sz w:val="24"/>
          <w:szCs w:val="28"/>
        </w:rPr>
      </w:pPr>
      <w:r w:rsidRPr="003E49CB">
        <w:rPr>
          <w:b/>
          <w:color w:val="002060"/>
          <w:sz w:val="24"/>
          <w:szCs w:val="28"/>
        </w:rPr>
        <w:t>Qui seront les interlocuteurs terrain ?</w:t>
      </w:r>
    </w:p>
    <w:p w14:paraId="411530D4" w14:textId="680B094A" w:rsidR="003E49CB" w:rsidRPr="003E49CB" w:rsidRDefault="003E49CB" w:rsidP="003E49CB">
      <w:pPr>
        <w:pStyle w:val="Paragraphedeliste"/>
        <w:ind w:left="0"/>
        <w:jc w:val="both"/>
        <w:rPr>
          <w:sz w:val="24"/>
          <w:szCs w:val="28"/>
        </w:rPr>
      </w:pPr>
      <w:r w:rsidRPr="00C34A81">
        <w:rPr>
          <w:sz w:val="24"/>
          <w:szCs w:val="28"/>
        </w:rPr>
        <w:t>La force commerciale Banque Solfea qui vous accompagne aujourd</w:t>
      </w:r>
      <w:r>
        <w:rPr>
          <w:sz w:val="24"/>
          <w:szCs w:val="28"/>
        </w:rPr>
        <w:t xml:space="preserve">’hui sera renforcée par une équipe de </w:t>
      </w:r>
      <w:r w:rsidRPr="00C34A81">
        <w:rPr>
          <w:sz w:val="24"/>
          <w:szCs w:val="28"/>
        </w:rPr>
        <w:t>commerciaux BNPP PF.</w:t>
      </w:r>
    </w:p>
    <w:p w14:paraId="0554F134" w14:textId="77777777" w:rsidR="00D40832" w:rsidRPr="00D40832" w:rsidRDefault="00D40832" w:rsidP="003E49CB">
      <w:pPr>
        <w:pStyle w:val="Paragraphedeliste"/>
        <w:numPr>
          <w:ilvl w:val="0"/>
          <w:numId w:val="29"/>
        </w:numPr>
        <w:jc w:val="both"/>
        <w:rPr>
          <w:sz w:val="24"/>
          <w:szCs w:val="28"/>
        </w:rPr>
      </w:pPr>
      <w:r w:rsidRPr="00D40832">
        <w:rPr>
          <w:b/>
          <w:color w:val="002060"/>
          <w:sz w:val="24"/>
          <w:szCs w:val="28"/>
        </w:rPr>
        <w:t>Les partenaires agréés de la Banque seront-ils agréés automatiquement par BNP PF ?</w:t>
      </w:r>
    </w:p>
    <w:p w14:paraId="26B611E3" w14:textId="77777777" w:rsidR="00D40832" w:rsidRPr="00D40832" w:rsidRDefault="00D40832" w:rsidP="00D51FB9">
      <w:pPr>
        <w:ind w:left="66"/>
        <w:jc w:val="both"/>
        <w:rPr>
          <w:sz w:val="24"/>
          <w:szCs w:val="28"/>
        </w:rPr>
      </w:pPr>
      <w:r w:rsidRPr="00D40832">
        <w:rPr>
          <w:sz w:val="24"/>
          <w:szCs w:val="28"/>
        </w:rPr>
        <w:t xml:space="preserve">Non, les équipes BNPP PF étudieront les demandes d’agrément de chacun des partenaires agréés de la Banque conformément aux procédures </w:t>
      </w:r>
      <w:r w:rsidR="00C34A81">
        <w:rPr>
          <w:sz w:val="24"/>
          <w:szCs w:val="28"/>
        </w:rPr>
        <w:t xml:space="preserve">Risque </w:t>
      </w:r>
      <w:r w:rsidRPr="00D40832">
        <w:rPr>
          <w:sz w:val="24"/>
          <w:szCs w:val="28"/>
        </w:rPr>
        <w:t>du Groupe BNPP.</w:t>
      </w:r>
      <w:r w:rsidR="00F82D08">
        <w:rPr>
          <w:sz w:val="24"/>
          <w:szCs w:val="28"/>
        </w:rPr>
        <w:t xml:space="preserve"> À cet effet BNPP PF met en place une équipe dédiée afin de vous accompagner. </w:t>
      </w:r>
      <w:r w:rsidR="000678FC">
        <w:rPr>
          <w:b/>
          <w:color w:val="FFFFFF"/>
          <w:sz w:val="24"/>
        </w:rPr>
        <w:t>T DE L’</w:t>
      </w:r>
      <w:r>
        <w:rPr>
          <w:b/>
          <w:color w:val="FFFFFF"/>
          <w:sz w:val="24"/>
        </w:rPr>
        <w:t>ACC</w:t>
      </w:r>
    </w:p>
    <w:p w14:paraId="16E51FC3" w14:textId="77777777" w:rsidR="000678FC" w:rsidRPr="000678FC" w:rsidRDefault="000678FC" w:rsidP="003E49CB">
      <w:pPr>
        <w:pStyle w:val="Paragraphedeliste"/>
        <w:numPr>
          <w:ilvl w:val="0"/>
          <w:numId w:val="29"/>
        </w:numPr>
        <w:jc w:val="both"/>
        <w:rPr>
          <w:b/>
          <w:color w:val="002060"/>
          <w:sz w:val="24"/>
          <w:szCs w:val="28"/>
        </w:rPr>
      </w:pPr>
      <w:r w:rsidRPr="000678FC">
        <w:rPr>
          <w:b/>
          <w:color w:val="002060"/>
          <w:sz w:val="24"/>
          <w:szCs w:val="28"/>
        </w:rPr>
        <w:t xml:space="preserve">Que va-t-il se passer pour les partenaires constructeurs de la banque ? </w:t>
      </w:r>
    </w:p>
    <w:p w14:paraId="6F003BC0" w14:textId="77777777" w:rsidR="000678FC" w:rsidRPr="000678FC" w:rsidRDefault="000678FC" w:rsidP="00D51FB9">
      <w:pPr>
        <w:ind w:left="66"/>
        <w:jc w:val="both"/>
        <w:rPr>
          <w:sz w:val="24"/>
          <w:szCs w:val="28"/>
        </w:rPr>
      </w:pPr>
      <w:r w:rsidRPr="000678FC">
        <w:rPr>
          <w:sz w:val="24"/>
          <w:szCs w:val="28"/>
        </w:rPr>
        <w:t xml:space="preserve">Les relations avec les constructeurs s’inscriront dans la continuité du </w:t>
      </w:r>
      <w:r w:rsidR="00C34A81">
        <w:rPr>
          <w:sz w:val="24"/>
          <w:szCs w:val="28"/>
        </w:rPr>
        <w:t xml:space="preserve">mode de </w:t>
      </w:r>
      <w:r w:rsidRPr="000678FC">
        <w:rPr>
          <w:sz w:val="24"/>
          <w:szCs w:val="28"/>
        </w:rPr>
        <w:t>fonctionnement actuel entre banque Solfea, ENGIE et les constructeurs.</w:t>
      </w:r>
    </w:p>
    <w:p w14:paraId="770132A0" w14:textId="77777777" w:rsidR="000678FC" w:rsidRDefault="000678FC" w:rsidP="003E49CB">
      <w:pPr>
        <w:pStyle w:val="Paragraphedeliste"/>
        <w:numPr>
          <w:ilvl w:val="0"/>
          <w:numId w:val="29"/>
        </w:numPr>
        <w:jc w:val="both"/>
        <w:rPr>
          <w:b/>
          <w:color w:val="002060"/>
          <w:sz w:val="24"/>
          <w:szCs w:val="28"/>
        </w:rPr>
      </w:pPr>
      <w:r w:rsidRPr="000678FC">
        <w:rPr>
          <w:b/>
          <w:color w:val="002060"/>
          <w:sz w:val="24"/>
          <w:szCs w:val="28"/>
        </w:rPr>
        <w:t>Que va-t-il se passer pour moi</w:t>
      </w:r>
      <w:r>
        <w:rPr>
          <w:b/>
          <w:color w:val="002060"/>
          <w:sz w:val="24"/>
          <w:szCs w:val="28"/>
        </w:rPr>
        <w:t> :</w:t>
      </w:r>
    </w:p>
    <w:p w14:paraId="4723DE4D" w14:textId="490E8BC3" w:rsidR="000678FC" w:rsidRPr="00133956" w:rsidRDefault="00D40832" w:rsidP="00133956">
      <w:pPr>
        <w:spacing w:after="160" w:line="259" w:lineRule="auto"/>
        <w:contextualSpacing/>
        <w:jc w:val="both"/>
        <w:rPr>
          <w:sz w:val="24"/>
          <w:szCs w:val="28"/>
        </w:rPr>
      </w:pPr>
      <w:r w:rsidRPr="00133956">
        <w:rPr>
          <w:sz w:val="24"/>
          <w:szCs w:val="28"/>
        </w:rPr>
        <w:t>Vous serez également formés à l</w:t>
      </w:r>
      <w:r w:rsidR="00133956">
        <w:rPr>
          <w:sz w:val="24"/>
          <w:szCs w:val="28"/>
        </w:rPr>
        <w:t xml:space="preserve">’utilisation du portail </w:t>
      </w:r>
      <w:proofErr w:type="spellStart"/>
      <w:r w:rsidR="00133956">
        <w:rPr>
          <w:sz w:val="24"/>
          <w:szCs w:val="28"/>
        </w:rPr>
        <w:t>Sw@pp</w:t>
      </w:r>
      <w:proofErr w:type="spellEnd"/>
      <w:r w:rsidR="00133956">
        <w:rPr>
          <w:sz w:val="24"/>
          <w:szCs w:val="28"/>
        </w:rPr>
        <w:t>.</w:t>
      </w:r>
    </w:p>
    <w:p w14:paraId="4177B466" w14:textId="77777777" w:rsidR="003E49CB" w:rsidRDefault="003E49CB" w:rsidP="00D51FB9">
      <w:pPr>
        <w:pStyle w:val="Paragraphedeliste"/>
        <w:spacing w:after="160" w:line="259" w:lineRule="auto"/>
        <w:ind w:left="720"/>
        <w:contextualSpacing/>
        <w:jc w:val="both"/>
        <w:rPr>
          <w:sz w:val="24"/>
          <w:szCs w:val="28"/>
        </w:rPr>
      </w:pPr>
    </w:p>
    <w:p w14:paraId="3DEE4ED8" w14:textId="77777777" w:rsidR="003E49CB" w:rsidRPr="00D40832" w:rsidRDefault="003E49CB" w:rsidP="003E49CB">
      <w:pPr>
        <w:pStyle w:val="Paragraphedeliste"/>
        <w:numPr>
          <w:ilvl w:val="0"/>
          <w:numId w:val="29"/>
        </w:numPr>
        <w:spacing w:after="160" w:line="259" w:lineRule="auto"/>
        <w:contextualSpacing/>
        <w:jc w:val="both"/>
        <w:rPr>
          <w:sz w:val="24"/>
          <w:szCs w:val="28"/>
        </w:rPr>
      </w:pPr>
      <w:r w:rsidRPr="00D40832">
        <w:rPr>
          <w:b/>
          <w:color w:val="002060"/>
          <w:sz w:val="24"/>
          <w:szCs w:val="28"/>
        </w:rPr>
        <w:t>Le portail de Banque Solfea sera-t-il toujours accessible ?</w:t>
      </w:r>
    </w:p>
    <w:p w14:paraId="37F8EFE7" w14:textId="7319D7C6" w:rsidR="003E49CB" w:rsidRPr="003E49CB" w:rsidRDefault="003E49CB" w:rsidP="003E49CB">
      <w:pPr>
        <w:ind w:left="66"/>
        <w:jc w:val="both"/>
        <w:rPr>
          <w:sz w:val="24"/>
          <w:szCs w:val="28"/>
        </w:rPr>
      </w:pPr>
      <w:r w:rsidRPr="00D40832">
        <w:rPr>
          <w:sz w:val="24"/>
          <w:szCs w:val="28"/>
        </w:rPr>
        <w:t>Le portail de Banque Solfea restera accessible aux clients et prescripteurs ayant des dossiers Banque Solfea en instance, jusqu’à leur financement.</w:t>
      </w:r>
      <w:r>
        <w:rPr>
          <w:sz w:val="24"/>
          <w:szCs w:val="28"/>
        </w:rPr>
        <w:t xml:space="preserve"> Les informations relatives à la nouvelle offre seront accessibles sur le site Web d’ENGIE.</w:t>
      </w:r>
    </w:p>
    <w:p w14:paraId="076ABD87" w14:textId="1FDCC677" w:rsidR="00D40832" w:rsidRPr="00D40832" w:rsidRDefault="00D40832" w:rsidP="003E49CB">
      <w:pPr>
        <w:pStyle w:val="Paragraphedeliste"/>
        <w:numPr>
          <w:ilvl w:val="0"/>
          <w:numId w:val="29"/>
        </w:numPr>
        <w:spacing w:after="160" w:line="259" w:lineRule="auto"/>
        <w:contextualSpacing/>
        <w:jc w:val="both"/>
        <w:rPr>
          <w:sz w:val="24"/>
          <w:szCs w:val="28"/>
        </w:rPr>
      </w:pPr>
      <w:r>
        <w:rPr>
          <w:b/>
          <w:color w:val="002060"/>
          <w:sz w:val="24"/>
          <w:szCs w:val="28"/>
        </w:rPr>
        <w:lastRenderedPageBreak/>
        <w:t>Quelle sera l’adresse du nouveau site Web ?</w:t>
      </w:r>
      <w:r w:rsidR="003E49CB">
        <w:rPr>
          <w:b/>
          <w:color w:val="002060"/>
          <w:sz w:val="24"/>
          <w:szCs w:val="28"/>
        </w:rPr>
        <w:t xml:space="preserve"> / Quel sera le nouveau site Web ?</w:t>
      </w:r>
    </w:p>
    <w:p w14:paraId="6DAB08E4" w14:textId="54D0476D" w:rsidR="00403EC4" w:rsidRDefault="00D40832" w:rsidP="003E49CB">
      <w:pPr>
        <w:ind w:left="66"/>
        <w:jc w:val="both"/>
        <w:rPr>
          <w:sz w:val="24"/>
          <w:szCs w:val="28"/>
        </w:rPr>
      </w:pPr>
      <w:r w:rsidRPr="00D40832">
        <w:rPr>
          <w:sz w:val="24"/>
          <w:szCs w:val="28"/>
        </w:rPr>
        <w:t>Les informations et simulations relatives à la nouvelle offre seront accessibles sur le site web d’ENGIE.</w:t>
      </w:r>
    </w:p>
    <w:p w14:paraId="22FF6BEF" w14:textId="77777777" w:rsidR="003E49CB" w:rsidRPr="00C34A81" w:rsidRDefault="003E49CB" w:rsidP="003E49CB">
      <w:pPr>
        <w:pStyle w:val="Paragraphedeliste"/>
        <w:numPr>
          <w:ilvl w:val="0"/>
          <w:numId w:val="29"/>
        </w:numPr>
        <w:tabs>
          <w:tab w:val="right" w:pos="9070"/>
        </w:tabs>
        <w:jc w:val="both"/>
        <w:rPr>
          <w:b/>
          <w:color w:val="002060"/>
          <w:sz w:val="24"/>
          <w:szCs w:val="28"/>
        </w:rPr>
      </w:pPr>
      <w:r w:rsidRPr="00C34A81">
        <w:rPr>
          <w:b/>
          <w:color w:val="002060"/>
          <w:sz w:val="24"/>
          <w:szCs w:val="28"/>
        </w:rPr>
        <w:t xml:space="preserve">Y aura-t-il des simulateurs ? </w:t>
      </w:r>
    </w:p>
    <w:p w14:paraId="6F04B778" w14:textId="127153F8" w:rsidR="003E49CB" w:rsidRPr="003E49CB" w:rsidRDefault="003E49CB" w:rsidP="003E49CB">
      <w:pPr>
        <w:tabs>
          <w:tab w:val="right" w:pos="9070"/>
        </w:tabs>
        <w:ind w:left="66"/>
        <w:jc w:val="both"/>
        <w:rPr>
          <w:sz w:val="24"/>
          <w:szCs w:val="28"/>
        </w:rPr>
      </w:pPr>
      <w:r>
        <w:rPr>
          <w:sz w:val="24"/>
          <w:szCs w:val="28"/>
        </w:rPr>
        <w:t>Oui vous serez formés et disposerez des outils vendeurs BNPP PF de simulation de crédit.</w:t>
      </w:r>
    </w:p>
    <w:p w14:paraId="02AAE1EC" w14:textId="77777777" w:rsidR="00C34A81" w:rsidRPr="00C34A81" w:rsidRDefault="00C34A81" w:rsidP="003E49CB">
      <w:pPr>
        <w:pStyle w:val="Paragraphedeliste"/>
        <w:numPr>
          <w:ilvl w:val="0"/>
          <w:numId w:val="29"/>
        </w:numPr>
        <w:jc w:val="both"/>
        <w:rPr>
          <w:b/>
          <w:color w:val="002060"/>
          <w:sz w:val="24"/>
          <w:szCs w:val="28"/>
        </w:rPr>
      </w:pPr>
      <w:r w:rsidRPr="00C34A81">
        <w:rPr>
          <w:b/>
          <w:color w:val="002060"/>
          <w:sz w:val="24"/>
          <w:szCs w:val="28"/>
        </w:rPr>
        <w:t>Qui hébergera la documentation y compris celle des fabricants ?</w:t>
      </w:r>
    </w:p>
    <w:p w14:paraId="189343BE" w14:textId="4F2926EB" w:rsidR="00E910D9" w:rsidRPr="00C34A81" w:rsidRDefault="00C34A81" w:rsidP="00DC7B6F">
      <w:pPr>
        <w:tabs>
          <w:tab w:val="right" w:pos="9070"/>
        </w:tabs>
        <w:ind w:left="66"/>
        <w:jc w:val="both"/>
        <w:rPr>
          <w:sz w:val="24"/>
          <w:szCs w:val="28"/>
        </w:rPr>
      </w:pPr>
      <w:r>
        <w:rPr>
          <w:sz w:val="24"/>
          <w:szCs w:val="28"/>
        </w:rPr>
        <w:t>Les plaquettes commerciales seront téléchargeables depuis le site Web d’ENGIE.</w:t>
      </w:r>
      <w:r>
        <w:rPr>
          <w:sz w:val="24"/>
          <w:szCs w:val="28"/>
        </w:rPr>
        <w:tab/>
      </w:r>
    </w:p>
    <w:p w14:paraId="19CCF37B" w14:textId="65DD3872" w:rsidR="004872A7" w:rsidRPr="00DC7B6F" w:rsidRDefault="00D40832" w:rsidP="00DC7B6F">
      <w:pPr>
        <w:pStyle w:val="Paragraphedeliste"/>
        <w:numPr>
          <w:ilvl w:val="0"/>
          <w:numId w:val="6"/>
        </w:numPr>
        <w:shd w:val="clear" w:color="auto" w:fill="17365D" w:themeFill="text2" w:themeFillShade="BF"/>
        <w:spacing w:after="120"/>
        <w:ind w:left="426" w:hanging="426"/>
        <w:jc w:val="both"/>
        <w:rPr>
          <w:b/>
          <w:color w:val="FFFFFF"/>
          <w:sz w:val="24"/>
        </w:rPr>
      </w:pPr>
      <w:r>
        <w:rPr>
          <w:b/>
          <w:color w:val="FFFFFF"/>
          <w:sz w:val="24"/>
        </w:rPr>
        <w:t>GESTION DES INSTANCES ET DES ENCOURS</w:t>
      </w:r>
    </w:p>
    <w:p w14:paraId="66A57632" w14:textId="77777777" w:rsidR="00D40832" w:rsidRPr="00191611" w:rsidRDefault="00191611" w:rsidP="003E49CB">
      <w:pPr>
        <w:pStyle w:val="Paragraphedeliste"/>
        <w:numPr>
          <w:ilvl w:val="0"/>
          <w:numId w:val="29"/>
        </w:numPr>
        <w:jc w:val="both"/>
        <w:rPr>
          <w:b/>
          <w:color w:val="002060"/>
          <w:sz w:val="24"/>
          <w:szCs w:val="28"/>
        </w:rPr>
      </w:pPr>
      <w:r>
        <w:rPr>
          <w:b/>
          <w:color w:val="002060"/>
          <w:sz w:val="24"/>
          <w:szCs w:val="28"/>
        </w:rPr>
        <w:t>Que vont devenir les crédits qui étaient gérés par Banque Solfea ?</w:t>
      </w:r>
    </w:p>
    <w:p w14:paraId="74B44510" w14:textId="77777777" w:rsidR="00D51FB9" w:rsidRDefault="00191611" w:rsidP="00D51FB9">
      <w:pPr>
        <w:ind w:left="66"/>
        <w:jc w:val="both"/>
        <w:rPr>
          <w:sz w:val="24"/>
          <w:szCs w:val="28"/>
        </w:rPr>
      </w:pPr>
      <w:r w:rsidRPr="00191611">
        <w:rPr>
          <w:sz w:val="24"/>
          <w:szCs w:val="28"/>
        </w:rPr>
        <w:t xml:space="preserve">L’ensemble des </w:t>
      </w:r>
      <w:r w:rsidR="00591003">
        <w:rPr>
          <w:sz w:val="24"/>
          <w:szCs w:val="28"/>
        </w:rPr>
        <w:t>crédits sera désormais géré</w:t>
      </w:r>
      <w:r>
        <w:rPr>
          <w:sz w:val="24"/>
          <w:szCs w:val="28"/>
        </w:rPr>
        <w:t xml:space="preserve"> pa</w:t>
      </w:r>
      <w:r w:rsidR="00D51FB9">
        <w:rPr>
          <w:sz w:val="24"/>
          <w:szCs w:val="28"/>
        </w:rPr>
        <w:t xml:space="preserve">r BNP Paribas </w:t>
      </w:r>
      <w:proofErr w:type="spellStart"/>
      <w:r w:rsidR="00D51FB9">
        <w:rPr>
          <w:sz w:val="24"/>
          <w:szCs w:val="28"/>
        </w:rPr>
        <w:t>Personal</w:t>
      </w:r>
      <w:proofErr w:type="spellEnd"/>
      <w:r w:rsidR="00D51FB9">
        <w:rPr>
          <w:sz w:val="24"/>
          <w:szCs w:val="28"/>
        </w:rPr>
        <w:t xml:space="preserve"> Finance.</w:t>
      </w:r>
    </w:p>
    <w:p w14:paraId="42CA5C0A" w14:textId="77777777" w:rsidR="00D40832" w:rsidRPr="00D51FB9" w:rsidRDefault="00D40832" w:rsidP="003E49CB">
      <w:pPr>
        <w:pStyle w:val="Paragraphedeliste"/>
        <w:numPr>
          <w:ilvl w:val="0"/>
          <w:numId w:val="29"/>
        </w:numPr>
        <w:jc w:val="both"/>
        <w:rPr>
          <w:b/>
          <w:color w:val="1F497D" w:themeColor="text2"/>
        </w:rPr>
      </w:pPr>
      <w:r w:rsidRPr="00D51FB9">
        <w:rPr>
          <w:b/>
          <w:color w:val="002060"/>
          <w:sz w:val="24"/>
          <w:szCs w:val="28"/>
        </w:rPr>
        <w:t>Que va-t-il advenir des clients qui sont en cours de remboursement ?</w:t>
      </w:r>
    </w:p>
    <w:p w14:paraId="6839D4C1" w14:textId="77777777" w:rsidR="00D40832" w:rsidRDefault="00D40832" w:rsidP="00D51FB9">
      <w:pPr>
        <w:ind w:left="66"/>
        <w:jc w:val="both"/>
        <w:rPr>
          <w:sz w:val="24"/>
          <w:szCs w:val="28"/>
        </w:rPr>
      </w:pPr>
      <w:r w:rsidRPr="00D40832">
        <w:rPr>
          <w:sz w:val="24"/>
          <w:szCs w:val="28"/>
        </w:rPr>
        <w:t>Les encours</w:t>
      </w:r>
      <w:r w:rsidR="00403EC4">
        <w:rPr>
          <w:sz w:val="24"/>
          <w:szCs w:val="28"/>
        </w:rPr>
        <w:t xml:space="preserve"> de ces clients</w:t>
      </w:r>
      <w:r w:rsidRPr="00D40832">
        <w:rPr>
          <w:sz w:val="24"/>
          <w:szCs w:val="28"/>
        </w:rPr>
        <w:t xml:space="preserve"> seront désormais traités par </w:t>
      </w:r>
      <w:r w:rsidR="00191611">
        <w:rPr>
          <w:sz w:val="24"/>
          <w:szCs w:val="28"/>
        </w:rPr>
        <w:t xml:space="preserve">BNP Paribas </w:t>
      </w:r>
      <w:proofErr w:type="spellStart"/>
      <w:r w:rsidR="00191611">
        <w:rPr>
          <w:sz w:val="24"/>
          <w:szCs w:val="28"/>
        </w:rPr>
        <w:t>Personal</w:t>
      </w:r>
      <w:proofErr w:type="spellEnd"/>
      <w:r w:rsidR="00191611">
        <w:rPr>
          <w:sz w:val="24"/>
          <w:szCs w:val="28"/>
        </w:rPr>
        <w:t xml:space="preserve"> Finance</w:t>
      </w:r>
      <w:r w:rsidRPr="00D40832">
        <w:rPr>
          <w:sz w:val="24"/>
          <w:szCs w:val="28"/>
        </w:rPr>
        <w:t>.</w:t>
      </w:r>
    </w:p>
    <w:p w14:paraId="0DA3EA40" w14:textId="77777777" w:rsidR="00D40832" w:rsidRPr="00D40832" w:rsidRDefault="00D40832" w:rsidP="003E49CB">
      <w:pPr>
        <w:pStyle w:val="Paragraphedeliste"/>
        <w:numPr>
          <w:ilvl w:val="0"/>
          <w:numId w:val="29"/>
        </w:numPr>
        <w:jc w:val="both"/>
        <w:rPr>
          <w:b/>
          <w:color w:val="1F497D" w:themeColor="text2"/>
        </w:rPr>
      </w:pPr>
      <w:r w:rsidRPr="00D40832">
        <w:rPr>
          <w:b/>
          <w:color w:val="1F497D" w:themeColor="text2"/>
        </w:rPr>
        <w:t xml:space="preserve"> </w:t>
      </w:r>
      <w:r w:rsidRPr="00D40832">
        <w:rPr>
          <w:b/>
          <w:color w:val="002060"/>
          <w:sz w:val="24"/>
          <w:szCs w:val="28"/>
        </w:rPr>
        <w:t>Qui gèrera le SAV des clients de la Banque ?</w:t>
      </w:r>
    </w:p>
    <w:p w14:paraId="645E4F92" w14:textId="77777777" w:rsidR="00D40832" w:rsidRPr="00D40832" w:rsidRDefault="00191611" w:rsidP="00D51FB9">
      <w:pPr>
        <w:ind w:left="66"/>
        <w:jc w:val="both"/>
        <w:rPr>
          <w:sz w:val="24"/>
          <w:szCs w:val="28"/>
        </w:rPr>
      </w:pPr>
      <w:r>
        <w:rPr>
          <w:sz w:val="24"/>
          <w:szCs w:val="28"/>
        </w:rPr>
        <w:t xml:space="preserve">BNP Paribas </w:t>
      </w:r>
      <w:proofErr w:type="spellStart"/>
      <w:r>
        <w:rPr>
          <w:sz w:val="24"/>
          <w:szCs w:val="28"/>
        </w:rPr>
        <w:t>Personal</w:t>
      </w:r>
      <w:proofErr w:type="spellEnd"/>
      <w:r>
        <w:rPr>
          <w:sz w:val="24"/>
          <w:szCs w:val="28"/>
        </w:rPr>
        <w:t xml:space="preserve"> Finance</w:t>
      </w:r>
      <w:r w:rsidRPr="00D40832">
        <w:rPr>
          <w:sz w:val="24"/>
          <w:szCs w:val="28"/>
        </w:rPr>
        <w:t xml:space="preserve"> </w:t>
      </w:r>
      <w:r w:rsidR="00D40832" w:rsidRPr="00D40832">
        <w:rPr>
          <w:sz w:val="24"/>
          <w:szCs w:val="28"/>
        </w:rPr>
        <w:t>gérera le SAV des clients de la Banque.</w:t>
      </w:r>
    </w:p>
    <w:p w14:paraId="111F8855" w14:textId="77777777" w:rsidR="00D40832" w:rsidRPr="00D40832" w:rsidRDefault="00D40832" w:rsidP="00D51FB9">
      <w:pPr>
        <w:ind w:left="66"/>
        <w:jc w:val="both"/>
        <w:rPr>
          <w:sz w:val="24"/>
          <w:szCs w:val="28"/>
        </w:rPr>
      </w:pPr>
    </w:p>
    <w:sectPr w:rsidR="00D40832" w:rsidRPr="00D40832" w:rsidSect="00221022">
      <w:headerReference w:type="default" r:id="rId9"/>
      <w:pgSz w:w="11906" w:h="16838" w:code="9"/>
      <w:pgMar w:top="567" w:right="1418" w:bottom="1418" w:left="1418"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99A6" w14:textId="77777777" w:rsidR="005A05E7" w:rsidRDefault="005A05E7" w:rsidP="00E432EC">
      <w:pPr>
        <w:spacing w:after="0" w:line="240" w:lineRule="auto"/>
      </w:pPr>
      <w:r>
        <w:separator/>
      </w:r>
    </w:p>
  </w:endnote>
  <w:endnote w:type="continuationSeparator" w:id="0">
    <w:p w14:paraId="5F5F46E4" w14:textId="77777777" w:rsidR="005A05E7" w:rsidRDefault="005A05E7" w:rsidP="00E4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1572" w14:textId="77777777" w:rsidR="005A05E7" w:rsidRDefault="005A05E7" w:rsidP="00E432EC">
      <w:pPr>
        <w:spacing w:after="0" w:line="240" w:lineRule="auto"/>
      </w:pPr>
      <w:r>
        <w:separator/>
      </w:r>
    </w:p>
  </w:footnote>
  <w:footnote w:type="continuationSeparator" w:id="0">
    <w:p w14:paraId="61A36F43" w14:textId="77777777" w:rsidR="005A05E7" w:rsidRDefault="005A05E7" w:rsidP="00E43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73C8" w14:textId="77777777" w:rsidR="00774F65" w:rsidRPr="005A3073" w:rsidRDefault="005A3073" w:rsidP="00774F65">
    <w:pPr>
      <w:pStyle w:val="En-tte"/>
      <w:pBdr>
        <w:between w:val="single" w:sz="4" w:space="1" w:color="4F81BD" w:themeColor="accent1"/>
      </w:pBdr>
      <w:spacing w:line="240" w:lineRule="auto"/>
      <w:jc w:val="center"/>
    </w:pPr>
    <w:r w:rsidRPr="009753BE">
      <w:rPr>
        <w:b/>
        <w:noProof/>
        <w:color w:val="365F91" w:themeColor="accent1" w:themeShade="BF"/>
        <w:sz w:val="32"/>
        <w:lang w:eastAsia="fr-FR"/>
      </w:rPr>
      <mc:AlternateContent>
        <mc:Choice Requires="wps">
          <w:drawing>
            <wp:anchor distT="45720" distB="45720" distL="114300" distR="114300" simplePos="0" relativeHeight="251659264" behindDoc="0" locked="0" layoutInCell="1" allowOverlap="1" wp14:anchorId="5B139752" wp14:editId="19A101DA">
              <wp:simplePos x="0" y="0"/>
              <wp:positionH relativeFrom="column">
                <wp:posOffset>-671830</wp:posOffset>
              </wp:positionH>
              <wp:positionV relativeFrom="paragraph">
                <wp:posOffset>-452120</wp:posOffset>
              </wp:positionV>
              <wp:extent cx="2072640" cy="548640"/>
              <wp:effectExtent l="0" t="0" r="22860"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548640"/>
                      </a:xfrm>
                      <a:prstGeom prst="rect">
                        <a:avLst/>
                      </a:prstGeom>
                      <a:solidFill>
                        <a:srgbClr val="FFFFFF"/>
                      </a:solidFill>
                      <a:ln w="9525">
                        <a:solidFill>
                          <a:schemeClr val="bg1"/>
                        </a:solidFill>
                        <a:miter lim="800000"/>
                        <a:headEnd/>
                        <a:tailEnd/>
                      </a:ln>
                    </wps:spPr>
                    <wps:txbx>
                      <w:txbxContent>
                        <w:p w14:paraId="15C47577" w14:textId="77777777" w:rsidR="009753BE" w:rsidRDefault="009753BE">
                          <w:r w:rsidRPr="009753BE">
                            <w:rPr>
                              <w:rFonts w:eastAsiaTheme="minorHAnsi" w:cs="DIN-Regular"/>
                              <w:i/>
                              <w:noProof/>
                              <w:lang w:eastAsia="fr-FR"/>
                            </w:rPr>
                            <w:drawing>
                              <wp:inline distT="0" distB="0" distL="0" distR="0" wp14:anchorId="065A103A" wp14:editId="482D4687">
                                <wp:extent cx="1839458" cy="464820"/>
                                <wp:effectExtent l="0" t="0" r="0" b="0"/>
                                <wp:docPr id="6" name="Image 15" descr="BNPPF_BL_FR_Cre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5" descr="BNPPF_BL_FR_Cred_P.png"/>
                                        <pic:cNvPicPr>
                                          <a:picLocks noChangeAspect="1"/>
                                        </pic:cNvPicPr>
                                      </pic:nvPicPr>
                                      <pic:blipFill>
                                        <a:blip r:embed="rId1" cstate="print">
                                          <a:clrChange>
                                            <a:clrFrom>
                                              <a:srgbClr val="000000">
                                                <a:alpha val="0"/>
                                              </a:srgbClr>
                                            </a:clrFrom>
                                            <a:clrTo>
                                              <a:srgbClr val="000000">
                                                <a:alpha val="0"/>
                                              </a:srgbClr>
                                            </a:clrTo>
                                          </a:clrChange>
                                        </a:blip>
                                        <a:srcRect/>
                                        <a:stretch>
                                          <a:fillRect/>
                                        </a:stretch>
                                      </pic:blipFill>
                                      <pic:spPr bwMode="auto">
                                        <a:xfrm>
                                          <a:off x="0" y="0"/>
                                          <a:ext cx="1904877" cy="48135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9752" id="_x0000_t202" coordsize="21600,21600" o:spt="202" path="m,l,21600r21600,l21600,xe">
              <v:stroke joinstyle="miter"/>
              <v:path gradientshapeok="t" o:connecttype="rect"/>
            </v:shapetype>
            <v:shape id="Zone de texte 2" o:spid="_x0000_s1026" type="#_x0000_t202" style="position:absolute;left:0;text-align:left;margin-left:-52.9pt;margin-top:-35.6pt;width:163.2pt;height:4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" strokecolor="white [3212]">
              <v:textbox>
                <w:txbxContent>
                  <w:p w14:paraId="15C47577" w14:textId="77777777" w:rsidR="009753BE" w:rsidRDefault="009753BE">
                    <w:r w:rsidRPr="009753BE">
                      <w:rPr>
                        <w:rFonts w:eastAsiaTheme="minorHAnsi" w:cs="DIN-Regular"/>
                        <w:i/>
                        <w:noProof/>
                        <w:lang w:eastAsia="fr-FR"/>
                      </w:rPr>
                      <w:drawing>
                        <wp:inline distT="0" distB="0" distL="0" distR="0" wp14:anchorId="065A103A" wp14:editId="482D4687">
                          <wp:extent cx="1839458" cy="464820"/>
                          <wp:effectExtent l="0" t="0" r="0" b="0"/>
                          <wp:docPr id="6" name="Image 15" descr="BNPPF_BL_FR_Cre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5" descr="BNPPF_BL_FR_Cred_P.png"/>
                                  <pic:cNvPicPr>
                                    <a:picLocks noChangeAspect="1"/>
                                  </pic:cNvPicPr>
                                </pic:nvPicPr>
                                <pic:blipFill>
                                  <a:blip r:embed="rId2" cstate="print">
                                    <a:clrChange>
                                      <a:clrFrom>
                                        <a:srgbClr val="000000">
                                          <a:alpha val="0"/>
                                        </a:srgbClr>
                                      </a:clrFrom>
                                      <a:clrTo>
                                        <a:srgbClr val="000000">
                                          <a:alpha val="0"/>
                                        </a:srgbClr>
                                      </a:clrTo>
                                    </a:clrChange>
                                  </a:blip>
                                  <a:srcRect/>
                                  <a:stretch>
                                    <a:fillRect/>
                                  </a:stretch>
                                </pic:blipFill>
                                <pic:spPr bwMode="auto">
                                  <a:xfrm>
                                    <a:off x="0" y="0"/>
                                    <a:ext cx="1904877" cy="481351"/>
                                  </a:xfrm>
                                  <a:prstGeom prst="rect">
                                    <a:avLst/>
                                  </a:prstGeom>
                                  <a:noFill/>
                                  <a:ln w="9525">
                                    <a:noFill/>
                                    <a:miter lim="800000"/>
                                    <a:headEnd/>
                                    <a:tailEnd/>
                                  </a:ln>
                                </pic:spPr>
                              </pic:pic>
                            </a:graphicData>
                          </a:graphic>
                        </wp:inline>
                      </w:drawing>
                    </w:r>
                  </w:p>
                </w:txbxContent>
              </v:textbox>
              <w10:wrap type="square"/>
            </v:shape>
          </w:pict>
        </mc:Fallback>
      </mc:AlternateContent>
    </w:r>
    <w:r w:rsidR="009753BE" w:rsidRPr="009753BE">
      <w:rPr>
        <w:b/>
        <w:noProof/>
        <w:color w:val="365F91" w:themeColor="accent1" w:themeShade="BF"/>
        <w:sz w:val="32"/>
        <w:lang w:eastAsia="fr-FR"/>
      </w:rPr>
      <mc:AlternateContent>
        <mc:Choice Requires="wps">
          <w:drawing>
            <wp:anchor distT="45720" distB="45720" distL="114300" distR="114300" simplePos="0" relativeHeight="251661312" behindDoc="0" locked="0" layoutInCell="1" allowOverlap="1" wp14:anchorId="50D0D299" wp14:editId="762C1F94">
              <wp:simplePos x="0" y="0"/>
              <wp:positionH relativeFrom="column">
                <wp:posOffset>4738370</wp:posOffset>
              </wp:positionH>
              <wp:positionV relativeFrom="paragraph">
                <wp:posOffset>-421640</wp:posOffset>
              </wp:positionV>
              <wp:extent cx="1711960" cy="601980"/>
              <wp:effectExtent l="0" t="0" r="21590" b="266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1980"/>
                      </a:xfrm>
                      <a:prstGeom prst="rect">
                        <a:avLst/>
                      </a:prstGeom>
                      <a:solidFill>
                        <a:srgbClr val="FFFFFF"/>
                      </a:solidFill>
                      <a:ln w="9525">
                        <a:solidFill>
                          <a:schemeClr val="bg1"/>
                        </a:solidFill>
                        <a:miter lim="800000"/>
                        <a:headEnd/>
                        <a:tailEnd/>
                      </a:ln>
                    </wps:spPr>
                    <wps:txbx>
                      <w:txbxContent>
                        <w:p w14:paraId="6E0408E7" w14:textId="77777777" w:rsidR="009753BE" w:rsidRDefault="009753BE" w:rsidP="009753BE">
                          <w:pPr>
                            <w:jc w:val="right"/>
                          </w:pPr>
                          <w:r w:rsidRPr="009753BE">
                            <w:rPr>
                              <w:noProof/>
                              <w:lang w:eastAsia="fr-FR"/>
                            </w:rPr>
                            <w:drawing>
                              <wp:inline distT="0" distB="0" distL="0" distR="0" wp14:anchorId="0BF7917F" wp14:editId="3395708E">
                                <wp:extent cx="1120048" cy="381000"/>
                                <wp:effectExtent l="0" t="0" r="4445" b="0"/>
                                <wp:docPr id="5" name="Image 9" descr="logo_engi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descr="logo_engie_small.png"/>
                                        <pic:cNvPicPr>
                                          <a:picLocks noChangeAspect="1"/>
                                        </pic:cNvPicPr>
                                      </pic:nvPicPr>
                                      <pic:blipFill>
                                        <a:blip r:embed="rId3" cstate="print"/>
                                        <a:stretch>
                                          <a:fillRect/>
                                        </a:stretch>
                                      </pic:blipFill>
                                      <pic:spPr>
                                        <a:xfrm>
                                          <a:off x="0" y="0"/>
                                          <a:ext cx="1147582" cy="3903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D299" id="_x0000_s1027" type="#_x0000_t202" style="position:absolute;left:0;text-align:left;margin-left:373.1pt;margin-top:-33.2pt;width:134.8pt;height:4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" strokecolor="white [3212]">
              <v:textbox>
                <w:txbxContent>
                  <w:p w14:paraId="6E0408E7" w14:textId="77777777" w:rsidR="009753BE" w:rsidRDefault="009753BE" w:rsidP="009753BE">
                    <w:pPr>
                      <w:jc w:val="right"/>
                    </w:pPr>
                    <w:r w:rsidRPr="009753BE">
                      <w:rPr>
                        <w:noProof/>
                        <w:lang w:eastAsia="fr-FR"/>
                      </w:rPr>
                      <w:drawing>
                        <wp:inline distT="0" distB="0" distL="0" distR="0" wp14:anchorId="0BF7917F" wp14:editId="3395708E">
                          <wp:extent cx="1120048" cy="381000"/>
                          <wp:effectExtent l="0" t="0" r="4445" b="0"/>
                          <wp:docPr id="5" name="Image 9" descr="logo_engi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descr="logo_engie_small.png"/>
                                  <pic:cNvPicPr>
                                    <a:picLocks noChangeAspect="1"/>
                                  </pic:cNvPicPr>
                                </pic:nvPicPr>
                                <pic:blipFill>
                                  <a:blip r:embed="rId4" cstate="print"/>
                                  <a:stretch>
                                    <a:fillRect/>
                                  </a:stretch>
                                </pic:blipFill>
                                <pic:spPr>
                                  <a:xfrm>
                                    <a:off x="0" y="0"/>
                                    <a:ext cx="1147582" cy="390366"/>
                                  </a:xfrm>
                                  <a:prstGeom prst="rect">
                                    <a:avLst/>
                                  </a:prstGeom>
                                </pic:spPr>
                              </pic:pic>
                            </a:graphicData>
                          </a:graphic>
                        </wp:inline>
                      </w:drawing>
                    </w:r>
                  </w:p>
                </w:txbxContent>
              </v:textbox>
              <w10:wrap type="square"/>
            </v:shape>
          </w:pict>
        </mc:Fallback>
      </mc:AlternateContent>
    </w:r>
    <w:sdt>
      <w:sdtPr>
        <w:rPr>
          <w:b/>
          <w:color w:val="365F91" w:themeColor="accent1" w:themeShade="BF"/>
          <w:sz w:val="32"/>
          <w:lang w:val="en-US"/>
        </w:rPr>
        <w:alias w:val="Title"/>
        <w:id w:val="2062588291"/>
        <w:placeholder>
          <w:docPart w:val="69215D3D671B4820B249C2A9E4F78B6E"/>
        </w:placeholder>
        <w:dataBinding w:prefixMappings="xmlns:ns0='http://schemas.openxmlformats.org/package/2006/metadata/core-properties' xmlns:ns1='http://purl.org/dc/elements/1.1/'" w:xpath="/ns0:coreProperties[1]/ns1:title[1]" w:storeItemID="{6C3C8BC8-F283-45AE-878A-BAB7291924A1}"/>
        <w:text/>
      </w:sdtPr>
      <w:sdtEndPr/>
      <w:sdtContent>
        <w:r>
          <w:rPr>
            <w:b/>
            <w:color w:val="365F91" w:themeColor="accent1" w:themeShade="BF"/>
            <w:sz w:val="32"/>
          </w:rPr>
          <w:t>Accord commercial BNPP PF / ENGIE</w:t>
        </w:r>
      </w:sdtContent>
    </w:sdt>
  </w:p>
  <w:p w14:paraId="77908F4D" w14:textId="77777777" w:rsidR="00E432EC" w:rsidRPr="006E686F" w:rsidRDefault="005A05E7" w:rsidP="006E686F">
    <w:pPr>
      <w:pStyle w:val="En-tte"/>
      <w:pBdr>
        <w:between w:val="single" w:sz="4" w:space="1" w:color="4F81BD" w:themeColor="accent1"/>
      </w:pBdr>
      <w:spacing w:before="240"/>
      <w:jc w:val="center"/>
      <w:rPr>
        <w:b/>
        <w:color w:val="365F91" w:themeColor="accent1" w:themeShade="BF"/>
      </w:rPr>
    </w:pPr>
    <w:sdt>
      <w:sdtPr>
        <w:rPr>
          <w:b/>
          <w:i/>
          <w:color w:val="365F91" w:themeColor="accent1" w:themeShade="BF"/>
          <w:sz w:val="24"/>
        </w:rPr>
        <w:alias w:val="Date"/>
        <w:id w:val="-1786267207"/>
        <w:placeholder>
          <w:docPart w:val="E87FDD39941A42168928D4A532D4562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D2E84">
          <w:rPr>
            <w:b/>
            <w:i/>
            <w:color w:val="365F91" w:themeColor="accent1" w:themeShade="BF"/>
            <w:sz w:val="24"/>
          </w:rPr>
          <w:t>FAQ</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1640"/>
      </v:shape>
    </w:pict>
  </w:numPicBullet>
  <w:abstractNum w:abstractNumId="0" w15:restartNumberingAfterBreak="0">
    <w:nsid w:val="04A0107F"/>
    <w:multiLevelType w:val="hybridMultilevel"/>
    <w:tmpl w:val="8EE2DF46"/>
    <w:lvl w:ilvl="0" w:tplc="D1C62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75AC9"/>
    <w:multiLevelType w:val="hybridMultilevel"/>
    <w:tmpl w:val="2152AB5A"/>
    <w:lvl w:ilvl="0" w:tplc="4E8849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87963"/>
    <w:multiLevelType w:val="hybridMultilevel"/>
    <w:tmpl w:val="BD18DE0A"/>
    <w:lvl w:ilvl="0" w:tplc="C33428F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67E0"/>
    <w:multiLevelType w:val="hybridMultilevel"/>
    <w:tmpl w:val="21CA885E"/>
    <w:lvl w:ilvl="0" w:tplc="8E40CC16">
      <w:numFmt w:val="bullet"/>
      <w:lvlText w:val="-"/>
      <w:lvlJc w:val="left"/>
      <w:pPr>
        <w:ind w:left="720" w:hanging="360"/>
      </w:pPr>
      <w:rPr>
        <w:rFonts w:ascii="Calibri" w:eastAsia="Calibr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163E9"/>
    <w:multiLevelType w:val="hybridMultilevel"/>
    <w:tmpl w:val="27A0AEEE"/>
    <w:lvl w:ilvl="0" w:tplc="040C000F">
      <w:start w:val="1"/>
      <w:numFmt w:val="decimal"/>
      <w:lvlText w:val="%1."/>
      <w:lvlJc w:val="left"/>
      <w:pPr>
        <w:ind w:left="1434" w:hanging="360"/>
      </w:pPr>
      <w:rPr>
        <w:rFont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10913EDB"/>
    <w:multiLevelType w:val="hybridMultilevel"/>
    <w:tmpl w:val="33CC71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99686D"/>
    <w:multiLevelType w:val="hybridMultilevel"/>
    <w:tmpl w:val="C17C2A9C"/>
    <w:lvl w:ilvl="0" w:tplc="040C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67B2E"/>
    <w:multiLevelType w:val="hybridMultilevel"/>
    <w:tmpl w:val="ED6E583E"/>
    <w:lvl w:ilvl="0" w:tplc="D87E1C3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0E128E"/>
    <w:multiLevelType w:val="hybridMultilevel"/>
    <w:tmpl w:val="11DA25FC"/>
    <w:lvl w:ilvl="0" w:tplc="5328A272">
      <w:start w:val="1"/>
      <w:numFmt w:val="bullet"/>
      <w:lvlText w:val=""/>
      <w:lvlJc w:val="left"/>
      <w:pPr>
        <w:ind w:left="1434" w:hanging="360"/>
      </w:pPr>
      <w:rPr>
        <w:rFonts w:ascii="Wingdings" w:eastAsia="Calibri" w:hAnsi="Wingdings" w:cs="Times New Roman" w:hint="default"/>
      </w:rPr>
    </w:lvl>
    <w:lvl w:ilvl="1" w:tplc="040C0005">
      <w:start w:val="1"/>
      <w:numFmt w:val="bullet"/>
      <w:lvlText w:val=""/>
      <w:lvlJc w:val="left"/>
      <w:pPr>
        <w:ind w:left="2154" w:hanging="360"/>
      </w:pPr>
      <w:rPr>
        <w:rFonts w:ascii="Wingdings" w:hAnsi="Wingdings" w:hint="default"/>
      </w:rPr>
    </w:lvl>
    <w:lvl w:ilvl="2" w:tplc="040C0007">
      <w:start w:val="1"/>
      <w:numFmt w:val="bullet"/>
      <w:lvlText w:val=""/>
      <w:lvlPicBulletId w:val="0"/>
      <w:lvlJc w:val="left"/>
      <w:pPr>
        <w:ind w:left="2874" w:hanging="360"/>
      </w:pPr>
      <w:rPr>
        <w:rFonts w:ascii="Symbol" w:hAnsi="Symbol"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16975D99"/>
    <w:multiLevelType w:val="hybridMultilevel"/>
    <w:tmpl w:val="31F87074"/>
    <w:lvl w:ilvl="0" w:tplc="33CA2AAA">
      <w:start w:val="1"/>
      <w:numFmt w:val="decimal"/>
      <w:lvlText w:val="%1."/>
      <w:lvlJc w:val="left"/>
      <w:pPr>
        <w:ind w:left="360" w:hanging="360"/>
      </w:pPr>
      <w:rPr>
        <w:rFont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0" w15:restartNumberingAfterBreak="0">
    <w:nsid w:val="16ED38D9"/>
    <w:multiLevelType w:val="hybridMultilevel"/>
    <w:tmpl w:val="31F87074"/>
    <w:lvl w:ilvl="0" w:tplc="33CA2AAA">
      <w:start w:val="1"/>
      <w:numFmt w:val="decimal"/>
      <w:lvlText w:val="%1."/>
      <w:lvlJc w:val="left"/>
      <w:pPr>
        <w:ind w:left="360" w:hanging="360"/>
      </w:pPr>
      <w:rPr>
        <w:rFont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19B267E3"/>
    <w:multiLevelType w:val="hybridMultilevel"/>
    <w:tmpl w:val="2BB29AF0"/>
    <w:lvl w:ilvl="0" w:tplc="D2E2A59E">
      <w:start w:val="1"/>
      <w:numFmt w:val="upperLetter"/>
      <w:lvlText w:val="%1."/>
      <w:lvlJc w:val="left"/>
      <w:pPr>
        <w:ind w:left="720" w:hanging="360"/>
      </w:pPr>
      <w:rPr>
        <w:rFonts w:hint="default"/>
        <w:b/>
        <w:i w:val="0"/>
        <w:color w:val="FFFFFF"/>
        <w:sz w:val="28"/>
        <w:u w:val="none" w:color="FFFFF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5172CD"/>
    <w:multiLevelType w:val="hybridMultilevel"/>
    <w:tmpl w:val="FC168F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EF20E6"/>
    <w:multiLevelType w:val="hybridMultilevel"/>
    <w:tmpl w:val="6D68AC48"/>
    <w:lvl w:ilvl="0" w:tplc="36748032">
      <w:start w:val="8"/>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726A6"/>
    <w:multiLevelType w:val="hybridMultilevel"/>
    <w:tmpl w:val="AE56B9BA"/>
    <w:lvl w:ilvl="0" w:tplc="040C000F">
      <w:start w:val="1"/>
      <w:numFmt w:val="decimal"/>
      <w:lvlText w:val="%1."/>
      <w:lvlJc w:val="left"/>
      <w:pPr>
        <w:ind w:left="1434" w:hanging="360"/>
      </w:pPr>
      <w:rPr>
        <w:rFont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5" w15:restartNumberingAfterBreak="0">
    <w:nsid w:val="2FBB4A6C"/>
    <w:multiLevelType w:val="hybridMultilevel"/>
    <w:tmpl w:val="22B4973C"/>
    <w:lvl w:ilvl="0" w:tplc="63F073B2">
      <w:start w:val="1"/>
      <w:numFmt w:val="decimal"/>
      <w:lvlText w:val="%1."/>
      <w:lvlJc w:val="left"/>
      <w:pPr>
        <w:ind w:left="426" w:hanging="360"/>
      </w:pPr>
      <w:rPr>
        <w:rFonts w:hint="default"/>
        <w:b/>
        <w:i w:val="0"/>
        <w:color w:val="002060"/>
        <w:sz w:val="24"/>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6" w15:restartNumberingAfterBreak="0">
    <w:nsid w:val="343A5EA6"/>
    <w:multiLevelType w:val="hybridMultilevel"/>
    <w:tmpl w:val="7640F822"/>
    <w:lvl w:ilvl="0" w:tplc="375AE3EC">
      <w:start w:val="10"/>
      <w:numFmt w:val="bullet"/>
      <w:lvlText w:val="-"/>
      <w:lvlJc w:val="left"/>
      <w:pPr>
        <w:ind w:left="786" w:hanging="360"/>
      </w:pPr>
      <w:rPr>
        <w:rFonts w:ascii="Calibri" w:eastAsia="Calibri" w:hAnsi="Calibri"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34753613"/>
    <w:multiLevelType w:val="hybridMultilevel"/>
    <w:tmpl w:val="51EAFA14"/>
    <w:lvl w:ilvl="0" w:tplc="60AE5612">
      <w:numFmt w:val="bullet"/>
      <w:lvlText w:val=""/>
      <w:lvlJc w:val="left"/>
      <w:pPr>
        <w:ind w:left="408" w:hanging="360"/>
      </w:pPr>
      <w:rPr>
        <w:rFonts w:ascii="Wingdings" w:eastAsia="Times New Roman" w:hAnsi="Wingdings" w:cs="Calibri" w:hint="default"/>
        <w:color w:val="1F497D"/>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8" w15:restartNumberingAfterBreak="0">
    <w:nsid w:val="38166B2D"/>
    <w:multiLevelType w:val="hybridMultilevel"/>
    <w:tmpl w:val="0D42E560"/>
    <w:lvl w:ilvl="0" w:tplc="2DAA2170">
      <w:numFmt w:val="bullet"/>
      <w:lvlText w:val="-"/>
      <w:lvlJc w:val="left"/>
      <w:pPr>
        <w:ind w:left="927" w:hanging="360"/>
      </w:pPr>
      <w:rPr>
        <w:rFonts w:ascii="Calibri" w:eastAsia="Calibri"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A313938"/>
    <w:multiLevelType w:val="hybridMultilevel"/>
    <w:tmpl w:val="22B4973C"/>
    <w:lvl w:ilvl="0" w:tplc="63F073B2">
      <w:start w:val="1"/>
      <w:numFmt w:val="decimal"/>
      <w:lvlText w:val="%1."/>
      <w:lvlJc w:val="left"/>
      <w:pPr>
        <w:ind w:left="426" w:hanging="360"/>
      </w:pPr>
      <w:rPr>
        <w:rFonts w:hint="default"/>
        <w:b/>
        <w:i w:val="0"/>
        <w:color w:val="002060"/>
        <w:sz w:val="24"/>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0" w15:restartNumberingAfterBreak="0">
    <w:nsid w:val="3BE80180"/>
    <w:multiLevelType w:val="hybridMultilevel"/>
    <w:tmpl w:val="9D00BA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0E720C"/>
    <w:multiLevelType w:val="hybridMultilevel"/>
    <w:tmpl w:val="9F52B4F2"/>
    <w:lvl w:ilvl="0" w:tplc="0812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F1974"/>
    <w:multiLevelType w:val="hybridMultilevel"/>
    <w:tmpl w:val="5FB4F7B2"/>
    <w:lvl w:ilvl="0" w:tplc="664E33D8">
      <w:start w:val="3"/>
      <w:numFmt w:val="decimal"/>
      <w:lvlText w:val="%1-"/>
      <w:lvlJc w:val="left"/>
      <w:pPr>
        <w:ind w:left="786" w:hanging="360"/>
      </w:pPr>
      <w:rPr>
        <w:rFonts w:ascii="Calibri" w:eastAsia="Calibri" w:hAnsi="Calibri" w:cs="Times New Roman" w:hint="default"/>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C093B"/>
    <w:multiLevelType w:val="hybridMultilevel"/>
    <w:tmpl w:val="5FB4F7B2"/>
    <w:lvl w:ilvl="0" w:tplc="664E33D8">
      <w:start w:val="3"/>
      <w:numFmt w:val="decimal"/>
      <w:lvlText w:val="%1-"/>
      <w:lvlJc w:val="left"/>
      <w:pPr>
        <w:ind w:left="786" w:hanging="360"/>
      </w:pPr>
      <w:rPr>
        <w:rFonts w:ascii="Calibri" w:eastAsia="Calibri" w:hAnsi="Calibri" w:cs="Times New Roman" w:hint="default"/>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A1745"/>
    <w:multiLevelType w:val="hybridMultilevel"/>
    <w:tmpl w:val="34D66B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B72D57"/>
    <w:multiLevelType w:val="hybridMultilevel"/>
    <w:tmpl w:val="C5D624E8"/>
    <w:lvl w:ilvl="0" w:tplc="D42C3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7A5492"/>
    <w:multiLevelType w:val="hybridMultilevel"/>
    <w:tmpl w:val="51626D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952A06"/>
    <w:multiLevelType w:val="hybridMultilevel"/>
    <w:tmpl w:val="602A92B6"/>
    <w:lvl w:ilvl="0" w:tplc="040C000F">
      <w:start w:val="1"/>
      <w:numFmt w:val="decimal"/>
      <w:lvlText w:val="%1."/>
      <w:lvlJc w:val="left"/>
      <w:pPr>
        <w:ind w:left="1434" w:hanging="360"/>
      </w:pPr>
      <w:rPr>
        <w:rFont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8" w15:restartNumberingAfterBreak="0">
    <w:nsid w:val="65E008F9"/>
    <w:multiLevelType w:val="hybridMultilevel"/>
    <w:tmpl w:val="E2402B36"/>
    <w:lvl w:ilvl="0" w:tplc="D1C627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1F4BF3"/>
    <w:multiLevelType w:val="hybridMultilevel"/>
    <w:tmpl w:val="C10C9A2E"/>
    <w:lvl w:ilvl="0" w:tplc="040C000F">
      <w:start w:val="1"/>
      <w:numFmt w:val="decimal"/>
      <w:lvlText w:val="%1."/>
      <w:lvlJc w:val="left"/>
      <w:pPr>
        <w:ind w:left="360" w:hanging="360"/>
      </w:pPr>
      <w:rPr>
        <w:rFonts w:hint="default"/>
      </w:rPr>
    </w:lvl>
    <w:lvl w:ilvl="1" w:tplc="040C0003">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30" w15:restartNumberingAfterBreak="0">
    <w:nsid w:val="73263ADE"/>
    <w:multiLevelType w:val="hybridMultilevel"/>
    <w:tmpl w:val="E6C6E6D2"/>
    <w:lvl w:ilvl="0" w:tplc="709EE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DF599A"/>
    <w:multiLevelType w:val="hybridMultilevel"/>
    <w:tmpl w:val="825ED952"/>
    <w:lvl w:ilvl="0" w:tplc="26EC96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9724E3"/>
    <w:multiLevelType w:val="hybridMultilevel"/>
    <w:tmpl w:val="ADDEBEBE"/>
    <w:lvl w:ilvl="0" w:tplc="0A1AF67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2"/>
  </w:num>
  <w:num w:numId="4">
    <w:abstractNumId w:val="0"/>
  </w:num>
  <w:num w:numId="5">
    <w:abstractNumId w:val="28"/>
  </w:num>
  <w:num w:numId="6">
    <w:abstractNumId w:val="26"/>
  </w:num>
  <w:num w:numId="7">
    <w:abstractNumId w:val="9"/>
  </w:num>
  <w:num w:numId="8">
    <w:abstractNumId w:val="4"/>
  </w:num>
  <w:num w:numId="9">
    <w:abstractNumId w:val="27"/>
  </w:num>
  <w:num w:numId="10">
    <w:abstractNumId w:val="7"/>
  </w:num>
  <w:num w:numId="11">
    <w:abstractNumId w:val="31"/>
  </w:num>
  <w:num w:numId="12">
    <w:abstractNumId w:val="11"/>
  </w:num>
  <w:num w:numId="13">
    <w:abstractNumId w:val="8"/>
  </w:num>
  <w:num w:numId="14">
    <w:abstractNumId w:val="14"/>
  </w:num>
  <w:num w:numId="15">
    <w:abstractNumId w:val="5"/>
  </w:num>
  <w:num w:numId="16">
    <w:abstractNumId w:val="18"/>
  </w:num>
  <w:num w:numId="17">
    <w:abstractNumId w:val="29"/>
  </w:num>
  <w:num w:numId="18">
    <w:abstractNumId w:val="25"/>
  </w:num>
  <w:num w:numId="19">
    <w:abstractNumId w:val="21"/>
  </w:num>
  <w:num w:numId="20">
    <w:abstractNumId w:val="23"/>
  </w:num>
  <w:num w:numId="21">
    <w:abstractNumId w:val="22"/>
  </w:num>
  <w:num w:numId="22">
    <w:abstractNumId w:val="2"/>
  </w:num>
  <w:num w:numId="23">
    <w:abstractNumId w:val="13"/>
  </w:num>
  <w:num w:numId="24">
    <w:abstractNumId w:val="6"/>
  </w:num>
  <w:num w:numId="25">
    <w:abstractNumId w:val="32"/>
  </w:num>
  <w:num w:numId="26">
    <w:abstractNumId w:val="23"/>
    <w:lvlOverride w:ilvl="0">
      <w:lvl w:ilvl="0" w:tplc="664E33D8">
        <w:start w:val="3"/>
        <w:numFmt w:val="decimal"/>
        <w:lvlText w:val="%1-"/>
        <w:lvlJc w:val="left"/>
        <w:pPr>
          <w:ind w:left="786" w:hanging="360"/>
        </w:pPr>
        <w:rPr>
          <w:rFonts w:ascii="Calibri" w:eastAsia="Calibri" w:hAnsi="Calibri" w:cs="Times New Roman" w:hint="default"/>
          <w:i/>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0"/>
  </w:num>
  <w:num w:numId="28">
    <w:abstractNumId w:val="3"/>
  </w:num>
  <w:num w:numId="29">
    <w:abstractNumId w:val="19"/>
  </w:num>
  <w:num w:numId="30">
    <w:abstractNumId w:val="16"/>
  </w:num>
  <w:num w:numId="31">
    <w:abstractNumId w:val="20"/>
  </w:num>
  <w:num w:numId="32">
    <w:abstractNumId w:val="1"/>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9"/>
    <w:rsid w:val="00013685"/>
    <w:rsid w:val="00013F35"/>
    <w:rsid w:val="00031CD5"/>
    <w:rsid w:val="00035BF8"/>
    <w:rsid w:val="0003725A"/>
    <w:rsid w:val="0004314E"/>
    <w:rsid w:val="00047B2E"/>
    <w:rsid w:val="00050329"/>
    <w:rsid w:val="000548F2"/>
    <w:rsid w:val="00063188"/>
    <w:rsid w:val="000678FC"/>
    <w:rsid w:val="00074A12"/>
    <w:rsid w:val="00081715"/>
    <w:rsid w:val="000A0972"/>
    <w:rsid w:val="000A262A"/>
    <w:rsid w:val="000B2183"/>
    <w:rsid w:val="000B2A18"/>
    <w:rsid w:val="000B5B54"/>
    <w:rsid w:val="000E7D9A"/>
    <w:rsid w:val="000E7F08"/>
    <w:rsid w:val="001036C9"/>
    <w:rsid w:val="00110E48"/>
    <w:rsid w:val="00116CD5"/>
    <w:rsid w:val="00133956"/>
    <w:rsid w:val="0015591B"/>
    <w:rsid w:val="001636B2"/>
    <w:rsid w:val="00166F7A"/>
    <w:rsid w:val="00172686"/>
    <w:rsid w:val="00174BB8"/>
    <w:rsid w:val="001844EA"/>
    <w:rsid w:val="00191611"/>
    <w:rsid w:val="00193CBB"/>
    <w:rsid w:val="001A132D"/>
    <w:rsid w:val="001F3DF3"/>
    <w:rsid w:val="002003BD"/>
    <w:rsid w:val="00201438"/>
    <w:rsid w:val="00202DE1"/>
    <w:rsid w:val="002056C0"/>
    <w:rsid w:val="002064CA"/>
    <w:rsid w:val="00221022"/>
    <w:rsid w:val="00233643"/>
    <w:rsid w:val="0025190A"/>
    <w:rsid w:val="0027193E"/>
    <w:rsid w:val="0027337C"/>
    <w:rsid w:val="002771A8"/>
    <w:rsid w:val="002A0563"/>
    <w:rsid w:val="002A46AC"/>
    <w:rsid w:val="002D40A4"/>
    <w:rsid w:val="003022C7"/>
    <w:rsid w:val="0033038D"/>
    <w:rsid w:val="00346EE9"/>
    <w:rsid w:val="00367A23"/>
    <w:rsid w:val="0038637D"/>
    <w:rsid w:val="00386C5E"/>
    <w:rsid w:val="003A78AE"/>
    <w:rsid w:val="003B32F2"/>
    <w:rsid w:val="003B7BBE"/>
    <w:rsid w:val="003C3489"/>
    <w:rsid w:val="003E49CB"/>
    <w:rsid w:val="00403EC4"/>
    <w:rsid w:val="004121A5"/>
    <w:rsid w:val="0045061C"/>
    <w:rsid w:val="00466A00"/>
    <w:rsid w:val="004872A7"/>
    <w:rsid w:val="00496A42"/>
    <w:rsid w:val="004975B6"/>
    <w:rsid w:val="004A69D5"/>
    <w:rsid w:val="004B300E"/>
    <w:rsid w:val="004D706A"/>
    <w:rsid w:val="004E4B41"/>
    <w:rsid w:val="004E7B62"/>
    <w:rsid w:val="00504414"/>
    <w:rsid w:val="0052332E"/>
    <w:rsid w:val="00541893"/>
    <w:rsid w:val="005736A6"/>
    <w:rsid w:val="00591003"/>
    <w:rsid w:val="005A05E7"/>
    <w:rsid w:val="005A3073"/>
    <w:rsid w:val="005B17ED"/>
    <w:rsid w:val="005B5727"/>
    <w:rsid w:val="005C0AC6"/>
    <w:rsid w:val="005C20F5"/>
    <w:rsid w:val="005C35E6"/>
    <w:rsid w:val="005C6D98"/>
    <w:rsid w:val="005D2E84"/>
    <w:rsid w:val="00606EA6"/>
    <w:rsid w:val="006077C5"/>
    <w:rsid w:val="006530DB"/>
    <w:rsid w:val="006653DA"/>
    <w:rsid w:val="006732AD"/>
    <w:rsid w:val="00675513"/>
    <w:rsid w:val="00687F79"/>
    <w:rsid w:val="006971F1"/>
    <w:rsid w:val="006B35B3"/>
    <w:rsid w:val="006D317B"/>
    <w:rsid w:val="006D5095"/>
    <w:rsid w:val="006E376B"/>
    <w:rsid w:val="006E686F"/>
    <w:rsid w:val="006F74CD"/>
    <w:rsid w:val="00722A86"/>
    <w:rsid w:val="00724475"/>
    <w:rsid w:val="00724C91"/>
    <w:rsid w:val="00750B4B"/>
    <w:rsid w:val="00757D70"/>
    <w:rsid w:val="00774F65"/>
    <w:rsid w:val="00784CF2"/>
    <w:rsid w:val="007858BF"/>
    <w:rsid w:val="007C02E1"/>
    <w:rsid w:val="007D05B8"/>
    <w:rsid w:val="007D137C"/>
    <w:rsid w:val="007D25CE"/>
    <w:rsid w:val="007D3513"/>
    <w:rsid w:val="00825EFC"/>
    <w:rsid w:val="00830D0D"/>
    <w:rsid w:val="00836F2C"/>
    <w:rsid w:val="008435B2"/>
    <w:rsid w:val="00846226"/>
    <w:rsid w:val="00854D9D"/>
    <w:rsid w:val="008611CF"/>
    <w:rsid w:val="00864B0A"/>
    <w:rsid w:val="00885ABB"/>
    <w:rsid w:val="0089055D"/>
    <w:rsid w:val="008D406B"/>
    <w:rsid w:val="008D77FC"/>
    <w:rsid w:val="008E438C"/>
    <w:rsid w:val="008F5DF6"/>
    <w:rsid w:val="009040BB"/>
    <w:rsid w:val="00910E9A"/>
    <w:rsid w:val="0091550C"/>
    <w:rsid w:val="00932573"/>
    <w:rsid w:val="0094522C"/>
    <w:rsid w:val="009469AD"/>
    <w:rsid w:val="009471E4"/>
    <w:rsid w:val="00947F35"/>
    <w:rsid w:val="00955044"/>
    <w:rsid w:val="00967554"/>
    <w:rsid w:val="00974C72"/>
    <w:rsid w:val="009753BE"/>
    <w:rsid w:val="00976570"/>
    <w:rsid w:val="00990BB6"/>
    <w:rsid w:val="009D0C36"/>
    <w:rsid w:val="009E264F"/>
    <w:rsid w:val="00A05EA6"/>
    <w:rsid w:val="00A07361"/>
    <w:rsid w:val="00A16111"/>
    <w:rsid w:val="00A27AE3"/>
    <w:rsid w:val="00A7327F"/>
    <w:rsid w:val="00A82C04"/>
    <w:rsid w:val="00AA236E"/>
    <w:rsid w:val="00AB2B9A"/>
    <w:rsid w:val="00AC03B4"/>
    <w:rsid w:val="00AC49AE"/>
    <w:rsid w:val="00AF069E"/>
    <w:rsid w:val="00AF0715"/>
    <w:rsid w:val="00AF2EFB"/>
    <w:rsid w:val="00B54966"/>
    <w:rsid w:val="00B8083E"/>
    <w:rsid w:val="00B83C90"/>
    <w:rsid w:val="00B856A0"/>
    <w:rsid w:val="00BC1A0E"/>
    <w:rsid w:val="00BE4D50"/>
    <w:rsid w:val="00BE75F1"/>
    <w:rsid w:val="00BF1620"/>
    <w:rsid w:val="00BF6909"/>
    <w:rsid w:val="00C012C1"/>
    <w:rsid w:val="00C01B08"/>
    <w:rsid w:val="00C1635F"/>
    <w:rsid w:val="00C3475C"/>
    <w:rsid w:val="00C34A81"/>
    <w:rsid w:val="00C62750"/>
    <w:rsid w:val="00CA5DAB"/>
    <w:rsid w:val="00CA7207"/>
    <w:rsid w:val="00CC6C6B"/>
    <w:rsid w:val="00CD499F"/>
    <w:rsid w:val="00D00989"/>
    <w:rsid w:val="00D0355D"/>
    <w:rsid w:val="00D10CBD"/>
    <w:rsid w:val="00D23F7E"/>
    <w:rsid w:val="00D30270"/>
    <w:rsid w:val="00D3142E"/>
    <w:rsid w:val="00D40832"/>
    <w:rsid w:val="00D51031"/>
    <w:rsid w:val="00D51FB9"/>
    <w:rsid w:val="00D60FE9"/>
    <w:rsid w:val="00D67585"/>
    <w:rsid w:val="00D7200D"/>
    <w:rsid w:val="00D75D8F"/>
    <w:rsid w:val="00D8509C"/>
    <w:rsid w:val="00D961B9"/>
    <w:rsid w:val="00DA34B6"/>
    <w:rsid w:val="00DA68C5"/>
    <w:rsid w:val="00DC5941"/>
    <w:rsid w:val="00DC7B6F"/>
    <w:rsid w:val="00DE4869"/>
    <w:rsid w:val="00E067FB"/>
    <w:rsid w:val="00E25D37"/>
    <w:rsid w:val="00E31BFD"/>
    <w:rsid w:val="00E33281"/>
    <w:rsid w:val="00E432EC"/>
    <w:rsid w:val="00E453A7"/>
    <w:rsid w:val="00E50D87"/>
    <w:rsid w:val="00E745A6"/>
    <w:rsid w:val="00E845DD"/>
    <w:rsid w:val="00E87CD5"/>
    <w:rsid w:val="00E910D9"/>
    <w:rsid w:val="00EA445E"/>
    <w:rsid w:val="00EA57B1"/>
    <w:rsid w:val="00EB57C6"/>
    <w:rsid w:val="00EB6C26"/>
    <w:rsid w:val="00EB7FCA"/>
    <w:rsid w:val="00EC5044"/>
    <w:rsid w:val="00ED1349"/>
    <w:rsid w:val="00ED4AFF"/>
    <w:rsid w:val="00EF0F8F"/>
    <w:rsid w:val="00F2746E"/>
    <w:rsid w:val="00F4114B"/>
    <w:rsid w:val="00F63BB1"/>
    <w:rsid w:val="00F677B5"/>
    <w:rsid w:val="00F677EF"/>
    <w:rsid w:val="00F76BB8"/>
    <w:rsid w:val="00F82D08"/>
    <w:rsid w:val="00FB1306"/>
    <w:rsid w:val="00FB1EF3"/>
    <w:rsid w:val="00FC7B0A"/>
    <w:rsid w:val="00FC7DA3"/>
    <w:rsid w:val="00FD0407"/>
    <w:rsid w:val="00FD1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718D"/>
  <w15:docId w15:val="{B5A504EA-8284-4746-A205-FEDA8D96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1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32EC"/>
    <w:pPr>
      <w:tabs>
        <w:tab w:val="center" w:pos="4536"/>
        <w:tab w:val="right" w:pos="9072"/>
      </w:tabs>
    </w:pPr>
  </w:style>
  <w:style w:type="character" w:customStyle="1" w:styleId="En-tteCar">
    <w:name w:val="En-tête Car"/>
    <w:basedOn w:val="Policepardfaut"/>
    <w:link w:val="En-tte"/>
    <w:uiPriority w:val="99"/>
    <w:rsid w:val="00E432EC"/>
    <w:rPr>
      <w:sz w:val="22"/>
      <w:szCs w:val="22"/>
      <w:lang w:eastAsia="en-US"/>
    </w:rPr>
  </w:style>
  <w:style w:type="paragraph" w:styleId="Pieddepage">
    <w:name w:val="footer"/>
    <w:basedOn w:val="Normal"/>
    <w:link w:val="PieddepageCar"/>
    <w:uiPriority w:val="99"/>
    <w:unhideWhenUsed/>
    <w:rsid w:val="00E432EC"/>
    <w:pPr>
      <w:tabs>
        <w:tab w:val="center" w:pos="4536"/>
        <w:tab w:val="right" w:pos="9072"/>
      </w:tabs>
    </w:pPr>
  </w:style>
  <w:style w:type="character" w:customStyle="1" w:styleId="PieddepageCar">
    <w:name w:val="Pied de page Car"/>
    <w:basedOn w:val="Policepardfaut"/>
    <w:link w:val="Pieddepage"/>
    <w:uiPriority w:val="99"/>
    <w:rsid w:val="00E432EC"/>
    <w:rPr>
      <w:sz w:val="22"/>
      <w:szCs w:val="22"/>
      <w:lang w:eastAsia="en-US"/>
    </w:rPr>
  </w:style>
  <w:style w:type="paragraph" w:styleId="Paragraphedeliste">
    <w:name w:val="List Paragraph"/>
    <w:basedOn w:val="Normal"/>
    <w:uiPriority w:val="34"/>
    <w:qFormat/>
    <w:rsid w:val="001636B2"/>
    <w:pPr>
      <w:ind w:left="708"/>
    </w:pPr>
  </w:style>
  <w:style w:type="paragraph" w:styleId="Textedebulles">
    <w:name w:val="Balloon Text"/>
    <w:basedOn w:val="Normal"/>
    <w:link w:val="TextedebullesCar"/>
    <w:uiPriority w:val="99"/>
    <w:semiHidden/>
    <w:unhideWhenUsed/>
    <w:rsid w:val="00D720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200D"/>
    <w:rPr>
      <w:rFonts w:ascii="Tahoma" w:hAnsi="Tahoma" w:cs="Tahoma"/>
      <w:sz w:val="16"/>
      <w:szCs w:val="16"/>
      <w:lang w:eastAsia="en-US"/>
    </w:rPr>
  </w:style>
  <w:style w:type="character" w:styleId="Marquedecommentaire">
    <w:name w:val="annotation reference"/>
    <w:basedOn w:val="Policepardfaut"/>
    <w:uiPriority w:val="99"/>
    <w:semiHidden/>
    <w:unhideWhenUsed/>
    <w:rsid w:val="005C20F5"/>
    <w:rPr>
      <w:sz w:val="16"/>
      <w:szCs w:val="16"/>
    </w:rPr>
  </w:style>
  <w:style w:type="paragraph" w:styleId="Commentaire">
    <w:name w:val="annotation text"/>
    <w:basedOn w:val="Normal"/>
    <w:link w:val="CommentaireCar"/>
    <w:uiPriority w:val="99"/>
    <w:semiHidden/>
    <w:unhideWhenUsed/>
    <w:rsid w:val="005C20F5"/>
    <w:pPr>
      <w:spacing w:line="240" w:lineRule="auto"/>
    </w:pPr>
    <w:rPr>
      <w:sz w:val="20"/>
      <w:szCs w:val="20"/>
    </w:rPr>
  </w:style>
  <w:style w:type="character" w:customStyle="1" w:styleId="CommentaireCar">
    <w:name w:val="Commentaire Car"/>
    <w:basedOn w:val="Policepardfaut"/>
    <w:link w:val="Commentaire"/>
    <w:uiPriority w:val="99"/>
    <w:semiHidden/>
    <w:rsid w:val="005C20F5"/>
    <w:rPr>
      <w:lang w:eastAsia="en-US"/>
    </w:rPr>
  </w:style>
  <w:style w:type="paragraph" w:styleId="Objetducommentaire">
    <w:name w:val="annotation subject"/>
    <w:basedOn w:val="Commentaire"/>
    <w:next w:val="Commentaire"/>
    <w:link w:val="ObjetducommentaireCar"/>
    <w:uiPriority w:val="99"/>
    <w:semiHidden/>
    <w:unhideWhenUsed/>
    <w:rsid w:val="005C20F5"/>
    <w:rPr>
      <w:b/>
      <w:bCs/>
    </w:rPr>
  </w:style>
  <w:style w:type="character" w:customStyle="1" w:styleId="ObjetducommentaireCar">
    <w:name w:val="Objet du commentaire Car"/>
    <w:basedOn w:val="CommentaireCar"/>
    <w:link w:val="Objetducommentaire"/>
    <w:uiPriority w:val="99"/>
    <w:semiHidden/>
    <w:rsid w:val="005C20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215D3D671B4820B249C2A9E4F78B6E"/>
        <w:category>
          <w:name w:val="General"/>
          <w:gallery w:val="placeholder"/>
        </w:category>
        <w:types>
          <w:type w:val="bbPlcHdr"/>
        </w:types>
        <w:behaviors>
          <w:behavior w:val="content"/>
        </w:behaviors>
        <w:guid w:val="{100AD602-472F-4D40-B8CD-650CEED3693A}"/>
      </w:docPartPr>
      <w:docPartBody>
        <w:p w:rsidR="00292F1E" w:rsidRDefault="00DB1CE0" w:rsidP="00DB1CE0">
          <w:pPr>
            <w:pStyle w:val="69215D3D671B4820B249C2A9E4F78B6E"/>
          </w:pPr>
          <w:r>
            <w:t>[Type the document title]</w:t>
          </w:r>
        </w:p>
      </w:docPartBody>
    </w:docPart>
    <w:docPart>
      <w:docPartPr>
        <w:name w:val="E87FDD39941A42168928D4A532D45625"/>
        <w:category>
          <w:name w:val="General"/>
          <w:gallery w:val="placeholder"/>
        </w:category>
        <w:types>
          <w:type w:val="bbPlcHdr"/>
        </w:types>
        <w:behaviors>
          <w:behavior w:val="content"/>
        </w:behaviors>
        <w:guid w:val="{F000B0ED-1ED4-462F-A922-6C115C392DA0}"/>
      </w:docPartPr>
      <w:docPartBody>
        <w:p w:rsidR="00292F1E" w:rsidRDefault="00DB1CE0" w:rsidP="00DB1CE0">
          <w:pPr>
            <w:pStyle w:val="E87FDD39941A42168928D4A532D45625"/>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DB1CE0"/>
    <w:rsid w:val="000C7774"/>
    <w:rsid w:val="001C46A6"/>
    <w:rsid w:val="001D38CB"/>
    <w:rsid w:val="001E7630"/>
    <w:rsid w:val="00292F1E"/>
    <w:rsid w:val="00327432"/>
    <w:rsid w:val="003E53C1"/>
    <w:rsid w:val="005503B6"/>
    <w:rsid w:val="005C262F"/>
    <w:rsid w:val="00686297"/>
    <w:rsid w:val="006D7F64"/>
    <w:rsid w:val="006F7BAC"/>
    <w:rsid w:val="00B97D3C"/>
    <w:rsid w:val="00C273E7"/>
    <w:rsid w:val="00D17AC8"/>
    <w:rsid w:val="00DA7CC1"/>
    <w:rsid w:val="00DB1CE0"/>
    <w:rsid w:val="00E84B7D"/>
    <w:rsid w:val="00F03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215D3D671B4820B249C2A9E4F78B6E">
    <w:name w:val="69215D3D671B4820B249C2A9E4F78B6E"/>
    <w:rsid w:val="00DB1CE0"/>
  </w:style>
  <w:style w:type="paragraph" w:customStyle="1" w:styleId="E87FDD39941A42168928D4A532D45625">
    <w:name w:val="E87FDD39941A42168928D4A532D45625"/>
    <w:rsid w:val="00DB1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FAQ</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68374-B553-40E8-BAA7-CCBB6E5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commercial BNPP PF / ENGIE</vt:lpstr>
      <vt:lpstr>Accord commercial BNPP PF / ENGIE</vt:lpstr>
    </vt:vector>
  </TitlesOfParts>
  <Company>Capgemini India Private Limited</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commercial BNPP PF / ENGIE</dc:title>
  <dc:creator>YGUEL Florence (fyguel)</dc:creator>
  <cp:lastModifiedBy>Marion DESHAYS</cp:lastModifiedBy>
  <cp:revision>2</cp:revision>
  <cp:lastPrinted>2014-06-05T19:14:00Z</cp:lastPrinted>
  <dcterms:created xsi:type="dcterms:W3CDTF">2016-12-01T16:07:00Z</dcterms:created>
  <dcterms:modified xsi:type="dcterms:W3CDTF">2016-12-01T16:07:00Z</dcterms:modified>
</cp:coreProperties>
</file>